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D2A80" w:rsidP="000E7619">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260DC" w:rsidTr="00441372">
        <w:tc>
          <w:tcPr>
            <w:tcW w:w="707" w:type="dxa"/>
            <w:shd w:val="clear" w:color="auto" w:fill="auto"/>
          </w:tcPr>
          <w:p w:rsidR="00EA4725" w:rsidRPr="00441372" w:rsidRDefault="00ED2A80" w:rsidP="00441372">
            <w:pPr>
              <w:spacing w:before="120" w:after="120"/>
              <w:jc w:val="left"/>
            </w:pPr>
            <w:r w:rsidRPr="00441372">
              <w:rPr>
                <w:b/>
              </w:rPr>
              <w:t>1.</w:t>
            </w:r>
          </w:p>
        </w:tc>
        <w:tc>
          <w:tcPr>
            <w:tcW w:w="8320" w:type="dxa"/>
            <w:shd w:val="clear" w:color="auto" w:fill="auto"/>
          </w:tcPr>
          <w:p w:rsidR="00EA4725" w:rsidRPr="00441372" w:rsidRDefault="00ED2A80" w:rsidP="000E7619">
            <w:pPr>
              <w:spacing w:before="120" w:after="120"/>
            </w:pPr>
            <w:r w:rsidRPr="00441372">
              <w:rPr>
                <w:b/>
              </w:rPr>
              <w:t xml:space="preserve">Notifying Member: </w:t>
            </w:r>
            <w:bookmarkStart w:id="0" w:name="sps1a"/>
            <w:r w:rsidRPr="00A52B02">
              <w:rPr>
                <w:caps/>
                <w:u w:val="single"/>
              </w:rPr>
              <w:t>Norway</w:t>
            </w:r>
            <w:bookmarkEnd w:id="0"/>
          </w:p>
          <w:p w:rsidR="00EA4725" w:rsidRPr="00441372" w:rsidRDefault="00ED2A80" w:rsidP="00441372">
            <w:pPr>
              <w:spacing w:after="120"/>
            </w:pPr>
            <w:r w:rsidRPr="00441372">
              <w:rPr>
                <w:b/>
                <w:bCs/>
              </w:rPr>
              <w:t xml:space="preserve">If applicable, name of local government involved: </w:t>
            </w:r>
            <w:bookmarkStart w:id="1" w:name="sps1b"/>
            <w:bookmarkEnd w:id="1"/>
          </w:p>
        </w:tc>
      </w:tr>
      <w:tr w:rsidR="002260DC" w:rsidTr="00441372">
        <w:tc>
          <w:tcPr>
            <w:tcW w:w="707" w:type="dxa"/>
            <w:shd w:val="clear" w:color="auto" w:fill="auto"/>
          </w:tcPr>
          <w:p w:rsidR="00EA4725" w:rsidRPr="00441372" w:rsidRDefault="00ED2A80" w:rsidP="00441372">
            <w:pPr>
              <w:spacing w:before="120" w:after="120"/>
              <w:jc w:val="left"/>
            </w:pPr>
            <w:r w:rsidRPr="00441372">
              <w:rPr>
                <w:b/>
              </w:rPr>
              <w:t>2.</w:t>
            </w:r>
          </w:p>
        </w:tc>
        <w:tc>
          <w:tcPr>
            <w:tcW w:w="8320" w:type="dxa"/>
            <w:shd w:val="clear" w:color="auto" w:fill="auto"/>
          </w:tcPr>
          <w:p w:rsidR="00EA4725" w:rsidRPr="00441372" w:rsidRDefault="00ED2A80" w:rsidP="00441372">
            <w:pPr>
              <w:spacing w:before="120" w:after="120"/>
            </w:pPr>
            <w:r w:rsidRPr="00441372">
              <w:rPr>
                <w:b/>
              </w:rPr>
              <w:t xml:space="preserve">Agency responsible: </w:t>
            </w:r>
            <w:r>
              <w:t>Norwegian Food Safety Authority</w:t>
            </w:r>
            <w:bookmarkStart w:id="2" w:name="sps2a"/>
            <w:bookmarkEnd w:id="2"/>
          </w:p>
        </w:tc>
      </w:tr>
      <w:tr w:rsidR="002260DC" w:rsidTr="00441372">
        <w:tc>
          <w:tcPr>
            <w:tcW w:w="707" w:type="dxa"/>
            <w:shd w:val="clear" w:color="auto" w:fill="auto"/>
          </w:tcPr>
          <w:p w:rsidR="00EA4725" w:rsidRPr="00441372" w:rsidRDefault="00ED2A80" w:rsidP="00441372">
            <w:pPr>
              <w:spacing w:before="120" w:after="120"/>
              <w:jc w:val="left"/>
            </w:pPr>
            <w:r w:rsidRPr="00441372">
              <w:rPr>
                <w:b/>
              </w:rPr>
              <w:t>3.</w:t>
            </w:r>
          </w:p>
        </w:tc>
        <w:tc>
          <w:tcPr>
            <w:tcW w:w="8320" w:type="dxa"/>
            <w:shd w:val="clear" w:color="auto" w:fill="auto"/>
          </w:tcPr>
          <w:p w:rsidR="00EA4725" w:rsidRPr="00441372" w:rsidRDefault="00ED2A80" w:rsidP="00F67445">
            <w:pPr>
              <w:spacing w:before="120" w:after="120"/>
            </w:pPr>
            <w:r w:rsidRPr="00441372">
              <w:rPr>
                <w:b/>
              </w:rPr>
              <w:t xml:space="preserve">Products covered (provide tariff item number(s) as specified in national schedules deposited with the WTO; ICS numbers should be provided in addition, where applicable): </w:t>
            </w:r>
            <w:r w:rsidRPr="00F67445">
              <w:t>Organic fertilisers containing sewage sludge</w:t>
            </w:r>
            <w:bookmarkStart w:id="3" w:name="sps3a"/>
            <w:bookmarkEnd w:id="3"/>
            <w:r w:rsidR="00D03BA6" w:rsidRPr="00F67445">
              <w:t xml:space="preserve"> </w:t>
            </w:r>
            <w:r w:rsidR="00F67445" w:rsidRPr="00F67445">
              <w:t>(under Chapter </w:t>
            </w:r>
            <w:r w:rsidR="00D03BA6" w:rsidRPr="00F67445">
              <w:t>31.01.0000)</w:t>
            </w:r>
          </w:p>
        </w:tc>
      </w:tr>
      <w:tr w:rsidR="002260DC" w:rsidTr="00441372">
        <w:tc>
          <w:tcPr>
            <w:tcW w:w="707" w:type="dxa"/>
            <w:shd w:val="clear" w:color="auto" w:fill="auto"/>
          </w:tcPr>
          <w:p w:rsidR="00EA4725" w:rsidRPr="00441372" w:rsidRDefault="00ED2A80" w:rsidP="00441372">
            <w:pPr>
              <w:spacing w:before="120" w:after="120"/>
              <w:jc w:val="left"/>
              <w:rPr>
                <w:b/>
              </w:rPr>
            </w:pPr>
            <w:r w:rsidRPr="00441372">
              <w:rPr>
                <w:b/>
              </w:rPr>
              <w:t>4.</w:t>
            </w:r>
          </w:p>
        </w:tc>
        <w:tc>
          <w:tcPr>
            <w:tcW w:w="8320" w:type="dxa"/>
            <w:shd w:val="clear" w:color="auto" w:fill="auto"/>
          </w:tcPr>
          <w:p w:rsidR="00EA4725" w:rsidRPr="00441372" w:rsidRDefault="00ED2A80" w:rsidP="000E7619">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D2A80" w:rsidP="000E7619">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D2A80"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260DC" w:rsidTr="00DB763F">
        <w:tc>
          <w:tcPr>
            <w:tcW w:w="707" w:type="dxa"/>
            <w:tcBorders>
              <w:bottom w:val="single" w:sz="6" w:space="0" w:color="auto"/>
            </w:tcBorders>
            <w:shd w:val="clear" w:color="auto" w:fill="auto"/>
          </w:tcPr>
          <w:p w:rsidR="00EA4725" w:rsidRPr="00441372" w:rsidRDefault="00ED2A80" w:rsidP="00441372">
            <w:pPr>
              <w:spacing w:before="120" w:after="120"/>
              <w:jc w:val="left"/>
            </w:pPr>
            <w:r w:rsidRPr="00441372">
              <w:rPr>
                <w:b/>
              </w:rPr>
              <w:t>5.</w:t>
            </w:r>
          </w:p>
        </w:tc>
        <w:tc>
          <w:tcPr>
            <w:tcW w:w="8320" w:type="dxa"/>
            <w:tcBorders>
              <w:bottom w:val="single" w:sz="6" w:space="0" w:color="auto"/>
            </w:tcBorders>
            <w:shd w:val="clear" w:color="auto" w:fill="auto"/>
          </w:tcPr>
          <w:p w:rsidR="00EA4725" w:rsidRDefault="00ED2A80" w:rsidP="00441372">
            <w:pPr>
              <w:spacing w:before="120" w:after="120"/>
            </w:pPr>
            <w:r w:rsidRPr="00441372">
              <w:rPr>
                <w:b/>
              </w:rPr>
              <w:t xml:space="preserve">Title of the notified document: </w:t>
            </w:r>
            <w:r>
              <w:t>Draft Regulations amending the Regulations on fertilisers etc. of organic origin and the Regulations relating to the payment of fees for specific services provided by the Norwegian Food Safety Authority ("sewage sludge-based fertiliser" etc.)</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7E3594" w:rsidRPr="00441372" w:rsidRDefault="006B48DF" w:rsidP="00441372">
            <w:pPr>
              <w:spacing w:before="120" w:after="120"/>
            </w:pPr>
            <w:hyperlink r:id="rId8" w:history="1">
              <w:r w:rsidR="007E3594" w:rsidRPr="007E3594">
                <w:rPr>
                  <w:rStyle w:val="Lienhypertexte"/>
                </w:rPr>
                <w:t>http://members.wto.org/crnattachments/2017/SPS/NOR/17_3978_00_e.pdf</w:t>
              </w:r>
            </w:hyperlink>
          </w:p>
        </w:tc>
      </w:tr>
      <w:tr w:rsidR="002260DC" w:rsidTr="00CE0388">
        <w:tc>
          <w:tcPr>
            <w:tcW w:w="707" w:type="dxa"/>
            <w:tcBorders>
              <w:top w:val="single" w:sz="6" w:space="0" w:color="auto"/>
              <w:bottom w:val="single" w:sz="4" w:space="0" w:color="auto"/>
            </w:tcBorders>
            <w:shd w:val="clear" w:color="auto" w:fill="auto"/>
          </w:tcPr>
          <w:p w:rsidR="00EA4725" w:rsidRPr="00441372" w:rsidRDefault="00ED2A80" w:rsidP="00441372">
            <w:pPr>
              <w:spacing w:before="120" w:after="120"/>
              <w:jc w:val="left"/>
            </w:pPr>
            <w:r w:rsidRPr="00441372">
              <w:rPr>
                <w:b/>
              </w:rPr>
              <w:t>6.</w:t>
            </w:r>
          </w:p>
        </w:tc>
        <w:tc>
          <w:tcPr>
            <w:tcW w:w="8320" w:type="dxa"/>
            <w:tcBorders>
              <w:top w:val="single" w:sz="6" w:space="0" w:color="auto"/>
              <w:bottom w:val="single" w:sz="4" w:space="0" w:color="auto"/>
            </w:tcBorders>
            <w:shd w:val="clear" w:color="auto" w:fill="auto"/>
          </w:tcPr>
          <w:p w:rsidR="00EA4725" w:rsidRPr="00441372" w:rsidRDefault="00ED2A80" w:rsidP="000E7619">
            <w:pPr>
              <w:spacing w:before="120" w:after="120"/>
            </w:pPr>
            <w:r w:rsidRPr="00441372">
              <w:rPr>
                <w:b/>
              </w:rPr>
              <w:t xml:space="preserve">Description of content: </w:t>
            </w:r>
            <w:r>
              <w:t xml:space="preserve">The </w:t>
            </w:r>
            <w:r w:rsidRPr="00584FB3">
              <w:t>proposed regulations amend the Regulations on fertilisers etc. of organic origin and the Regulations relating to the payment of fees for specific services provided by the No</w:t>
            </w:r>
            <w:r w:rsidR="00DB763F" w:rsidRPr="00584FB3">
              <w:t>rwegian Food Safety Authority ("sewage sludge-based fertiliser"</w:t>
            </w:r>
            <w:r w:rsidRPr="00584FB3">
              <w:t xml:space="preserve"> etc.)</w:t>
            </w:r>
            <w:r w:rsidR="003114C1" w:rsidRPr="00584FB3">
              <w:t>. The proposed regulations</w:t>
            </w:r>
            <w:r w:rsidRPr="00584FB3">
              <w:t xml:space="preserve"> introduce</w:t>
            </w:r>
            <w:r w:rsidR="00584FB3" w:rsidRPr="00584FB3">
              <w:t xml:space="preserve"> </w:t>
            </w:r>
            <w:r w:rsidRPr="00584FB3">
              <w:t>amendments to the national regulations concerning organic fertilisers</w:t>
            </w:r>
            <w:r>
              <w:t xml:space="preserve"> containing, amongst other components, also sewage sludge.</w:t>
            </w:r>
          </w:p>
          <w:p w:rsidR="002260DC" w:rsidRDefault="00ED2A80" w:rsidP="007D37E0">
            <w:pPr>
              <w:spacing w:after="120"/>
            </w:pPr>
            <w:r>
              <w:t>The proposal introduces the following amendments:</w:t>
            </w:r>
          </w:p>
          <w:p w:rsidR="002260DC" w:rsidRDefault="00ED2A80" w:rsidP="00DB763F">
            <w:pPr>
              <w:pStyle w:val="Paragraphedeliste"/>
              <w:numPr>
                <w:ilvl w:val="0"/>
                <w:numId w:val="16"/>
              </w:numPr>
              <w:spacing w:after="120"/>
              <w:ind w:left="354"/>
            </w:pPr>
            <w:r>
              <w:t>Product</w:t>
            </w:r>
            <w:r w:rsidR="00D03BA6">
              <w:t>s with the product designation "</w:t>
            </w:r>
            <w:r>
              <w:t>sewage sludge-based fertiliser</w:t>
            </w:r>
            <w:r w:rsidR="00D03BA6">
              <w:t>"</w:t>
            </w:r>
            <w:r>
              <w:t xml:space="preserve"> is to be subject to less stringent use-restriction c</w:t>
            </w:r>
            <w:r w:rsidR="00D03BA6">
              <w:t>ompared to other sewage-sludge;</w:t>
            </w:r>
          </w:p>
          <w:p w:rsidR="002260DC" w:rsidRDefault="00ED2A80" w:rsidP="00DB763F">
            <w:pPr>
              <w:pStyle w:val="Paragraphedeliste"/>
              <w:numPr>
                <w:ilvl w:val="0"/>
                <w:numId w:val="16"/>
              </w:numPr>
              <w:spacing w:after="120"/>
              <w:ind w:left="354"/>
            </w:pPr>
            <w:r>
              <w:t xml:space="preserve">The use of the product designation is to be subject to an authorisation from the Norwegian Food Safety Authority. Authorisation may only be given if the product has been treated using methods where the temperature during the </w:t>
            </w:r>
            <w:proofErr w:type="spellStart"/>
            <w:r>
              <w:t>hygienisation</w:t>
            </w:r>
            <w:proofErr w:type="spellEnd"/>
            <w:r>
              <w:t xml:space="preserve"> period is at least 55 degrees </w:t>
            </w:r>
            <w:r w:rsidR="003114C1">
              <w:t>Cels</w:t>
            </w:r>
            <w:r>
              <w:t xml:space="preserve">ius. Furthermore, the product must have a balanced nutrient content adapted to the annual needs of the plants and be suitable for use </w:t>
            </w:r>
            <w:r w:rsidR="00C93C8A">
              <w:t>with at maximum addition of 100</w:t>
            </w:r>
            <w:r>
              <w:t xml:space="preserve">kg dry matter per </w:t>
            </w:r>
            <w:proofErr w:type="spellStart"/>
            <w:r w:rsidRPr="00584FB3">
              <w:t>decar</w:t>
            </w:r>
            <w:r w:rsidR="003114C1" w:rsidRPr="00584FB3">
              <w:t>e</w:t>
            </w:r>
            <w:proofErr w:type="spellEnd"/>
            <w:r>
              <w:t xml:space="preserve"> per year o</w:t>
            </w:r>
            <w:r w:rsidR="00D03BA6">
              <w:t>f the sewage sludge component;</w:t>
            </w:r>
          </w:p>
          <w:p w:rsidR="002260DC" w:rsidRDefault="00ED2A80" w:rsidP="00DB763F">
            <w:pPr>
              <w:pStyle w:val="Paragraphedeliste"/>
              <w:numPr>
                <w:ilvl w:val="0"/>
                <w:numId w:val="16"/>
              </w:numPr>
              <w:spacing w:after="120"/>
              <w:ind w:left="354"/>
            </w:pPr>
            <w:r>
              <w:t>All operators in the delivery-chain are required to keep a record with information necess</w:t>
            </w:r>
            <w:r w:rsidR="00C93C8A">
              <w:t xml:space="preserve">ary for tracing the products. </w:t>
            </w:r>
            <w:r>
              <w:t xml:space="preserve">The users of </w:t>
            </w:r>
            <w:r w:rsidR="00C93C8A">
              <w:t>"</w:t>
            </w:r>
            <w:r>
              <w:t>sewage sludge-based fer</w:t>
            </w:r>
            <w:r w:rsidR="00C93C8A">
              <w:t>tiliser"</w:t>
            </w:r>
            <w:r>
              <w:t xml:space="preserve"> are also required to keep a record stating which enterprise the sludge product was received from, the product's trade name, the quantity received and the date on which it was received. The record shall also contain outline maps showing the areas where the sludge has been used. It must be stated what quantity of sludge has been used per </w:t>
            </w:r>
            <w:proofErr w:type="spellStart"/>
            <w:r>
              <w:t>decare</w:t>
            </w:r>
            <w:proofErr w:type="spellEnd"/>
            <w:r>
              <w:t xml:space="preserve"> and th</w:t>
            </w:r>
            <w:r w:rsidR="00D03BA6">
              <w:t>e date on which it was spread;</w:t>
            </w:r>
          </w:p>
          <w:p w:rsidR="002260DC" w:rsidRDefault="00ED2A80" w:rsidP="00DB763F">
            <w:pPr>
              <w:pStyle w:val="Paragraphedeliste"/>
              <w:numPr>
                <w:ilvl w:val="0"/>
                <w:numId w:val="16"/>
              </w:numPr>
              <w:spacing w:after="120"/>
              <w:ind w:left="354"/>
            </w:pPr>
            <w:r>
              <w:t>The record</w:t>
            </w:r>
            <w:r w:rsidR="00D03BA6">
              <w:t>s must be stored for at least ten</w:t>
            </w:r>
            <w:r>
              <w:t xml:space="preserve"> years. The op</w:t>
            </w:r>
            <w:r w:rsidR="00D03BA6">
              <w:t>erator is to pay a fee of 3,675 </w:t>
            </w:r>
            <w:r>
              <w:t>NOK for the authorisation.</w:t>
            </w:r>
            <w:bookmarkStart w:id="11" w:name="sps6a"/>
            <w:bookmarkEnd w:id="11"/>
          </w:p>
        </w:tc>
      </w:tr>
      <w:tr w:rsidR="002260DC" w:rsidTr="00CE0388">
        <w:tc>
          <w:tcPr>
            <w:tcW w:w="707" w:type="dxa"/>
            <w:tcBorders>
              <w:top w:val="single" w:sz="4" w:space="0" w:color="auto"/>
              <w:bottom w:val="single" w:sz="4" w:space="0" w:color="auto"/>
            </w:tcBorders>
            <w:shd w:val="clear" w:color="auto" w:fill="auto"/>
          </w:tcPr>
          <w:p w:rsidR="00EA4725" w:rsidRPr="00441372" w:rsidRDefault="00ED2A80" w:rsidP="007D37E0">
            <w:pPr>
              <w:spacing w:before="80" w:after="80"/>
            </w:pPr>
            <w:r w:rsidRPr="00441372">
              <w:rPr>
                <w:b/>
              </w:rPr>
              <w:lastRenderedPageBreak/>
              <w:t>7.</w:t>
            </w:r>
          </w:p>
        </w:tc>
        <w:tc>
          <w:tcPr>
            <w:tcW w:w="8320" w:type="dxa"/>
            <w:tcBorders>
              <w:top w:val="single" w:sz="4" w:space="0" w:color="auto"/>
              <w:bottom w:val="single" w:sz="4" w:space="0" w:color="auto"/>
            </w:tcBorders>
            <w:shd w:val="clear" w:color="auto" w:fill="auto"/>
          </w:tcPr>
          <w:p w:rsidR="00EA4725" w:rsidRPr="00441372" w:rsidRDefault="00ED2A80" w:rsidP="007D37E0">
            <w:pPr>
              <w:spacing w:before="80" w:after="8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w:t>
            </w:r>
            <w:bookmarkStart w:id="14" w:name="sps7c"/>
            <w:r w:rsidRPr="00441372">
              <w:rPr>
                <w:b/>
              </w:rPr>
              <w:t>X</w:t>
            </w:r>
            <w:bookmarkEnd w:id="14"/>
            <w:r w:rsidRPr="00441372">
              <w:rPr>
                <w:b/>
              </w:rPr>
              <w:t>] plant protection, [</w:t>
            </w:r>
            <w:bookmarkStart w:id="15" w:name="sps7d"/>
            <w:r w:rsidRPr="00441372">
              <w:rPr>
                <w:b/>
              </w:rPr>
              <w:t>X</w:t>
            </w:r>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2260DC" w:rsidTr="00CE0388">
        <w:tc>
          <w:tcPr>
            <w:tcW w:w="707" w:type="dxa"/>
            <w:tcBorders>
              <w:top w:val="single" w:sz="4" w:space="0" w:color="auto"/>
            </w:tcBorders>
            <w:shd w:val="clear" w:color="auto" w:fill="auto"/>
          </w:tcPr>
          <w:p w:rsidR="00EA4725" w:rsidRPr="00441372" w:rsidRDefault="00ED2A80" w:rsidP="007D37E0">
            <w:pPr>
              <w:spacing w:before="80" w:after="80"/>
              <w:rPr>
                <w:b/>
              </w:rPr>
            </w:pPr>
            <w:r w:rsidRPr="00441372">
              <w:rPr>
                <w:b/>
              </w:rPr>
              <w:t>8.</w:t>
            </w:r>
          </w:p>
        </w:tc>
        <w:tc>
          <w:tcPr>
            <w:tcW w:w="8320" w:type="dxa"/>
            <w:tcBorders>
              <w:top w:val="single" w:sz="4" w:space="0" w:color="auto"/>
            </w:tcBorders>
            <w:shd w:val="clear" w:color="auto" w:fill="auto"/>
          </w:tcPr>
          <w:p w:rsidR="00EA4725" w:rsidRPr="00441372" w:rsidRDefault="00ED2A80" w:rsidP="007D37E0">
            <w:pPr>
              <w:spacing w:before="80" w:after="80"/>
            </w:pPr>
            <w:r w:rsidRPr="00441372">
              <w:rPr>
                <w:b/>
              </w:rPr>
              <w:t>Is there a relevant international standard? If so, identify the standard:</w:t>
            </w:r>
          </w:p>
          <w:p w:rsidR="00EA4725" w:rsidRPr="00441372" w:rsidRDefault="00ED2A80" w:rsidP="007D37E0">
            <w:pPr>
              <w:spacing w:after="80"/>
              <w:ind w:left="720" w:hanging="720"/>
            </w:pPr>
            <w:r w:rsidRPr="00441372">
              <w:rPr>
                <w:b/>
              </w:rPr>
              <w:t>[ ]</w:t>
            </w:r>
            <w:bookmarkStart w:id="18" w:name="sps8a"/>
            <w:bookmarkEnd w:id="18"/>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ED2A80" w:rsidP="007D37E0">
            <w:pPr>
              <w:spacing w:after="80"/>
              <w:ind w:left="720" w:hanging="720"/>
              <w:rPr>
                <w:b/>
              </w:rPr>
            </w:pPr>
            <w:r w:rsidRPr="00441372">
              <w:rPr>
                <w:b/>
              </w:rPr>
              <w:t>[ ]</w:t>
            </w:r>
            <w:bookmarkStart w:id="20" w:name="sps8b"/>
            <w:bookmarkEnd w:id="20"/>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1" w:name="sps8btext"/>
            <w:bookmarkEnd w:id="21"/>
          </w:p>
          <w:p w:rsidR="00EA4725" w:rsidRPr="00441372" w:rsidRDefault="00ED2A80" w:rsidP="007D37E0">
            <w:pPr>
              <w:spacing w:after="8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3" w:name="sps8ctext"/>
            <w:bookmarkEnd w:id="23"/>
          </w:p>
          <w:p w:rsidR="00EA4725" w:rsidRPr="00441372" w:rsidRDefault="00ED2A80" w:rsidP="007D37E0">
            <w:pPr>
              <w:spacing w:after="8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ED2A80" w:rsidP="007D37E0">
            <w:pPr>
              <w:spacing w:after="80"/>
              <w:rPr>
                <w:b/>
              </w:rPr>
            </w:pPr>
            <w:r w:rsidRPr="00441372">
              <w:rPr>
                <w:b/>
              </w:rPr>
              <w:t xml:space="preserve">Does this proposed regulation conform to the relevant international standard? </w:t>
            </w:r>
          </w:p>
          <w:p w:rsidR="00EA4725" w:rsidRPr="00441372" w:rsidRDefault="00ED2A80" w:rsidP="007D37E0">
            <w:pPr>
              <w:spacing w:after="8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ED2A80" w:rsidP="00441372">
            <w:pPr>
              <w:spacing w:after="120"/>
            </w:pPr>
            <w:r w:rsidRPr="00441372">
              <w:rPr>
                <w:b/>
              </w:rPr>
              <w:t xml:space="preserve">If no, describe, whenever possible, how and why it deviates from the international standard: </w:t>
            </w:r>
            <w:bookmarkStart w:id="27" w:name="sps8e"/>
            <w:bookmarkEnd w:id="27"/>
          </w:p>
        </w:tc>
      </w:tr>
      <w:tr w:rsidR="002260DC" w:rsidTr="00441372">
        <w:tc>
          <w:tcPr>
            <w:tcW w:w="707" w:type="dxa"/>
            <w:shd w:val="clear" w:color="auto" w:fill="auto"/>
          </w:tcPr>
          <w:p w:rsidR="00EA4725" w:rsidRPr="00441372" w:rsidRDefault="00ED2A80" w:rsidP="007D37E0">
            <w:pPr>
              <w:spacing w:before="80" w:after="80"/>
            </w:pPr>
            <w:r w:rsidRPr="00441372">
              <w:rPr>
                <w:b/>
              </w:rPr>
              <w:t>9.</w:t>
            </w:r>
          </w:p>
        </w:tc>
        <w:tc>
          <w:tcPr>
            <w:tcW w:w="8320" w:type="dxa"/>
            <w:shd w:val="clear" w:color="auto" w:fill="auto"/>
          </w:tcPr>
          <w:p w:rsidR="00EA4725" w:rsidRPr="00441372" w:rsidRDefault="00ED2A80" w:rsidP="007D37E0">
            <w:pPr>
              <w:spacing w:before="80" w:after="80"/>
            </w:pPr>
            <w:r w:rsidRPr="00441372">
              <w:rPr>
                <w:b/>
              </w:rPr>
              <w:t xml:space="preserve">Other relevant documents and language(s) in which these are available: </w:t>
            </w:r>
            <w:bookmarkStart w:id="28" w:name="sps9a"/>
            <w:bookmarkEnd w:id="28"/>
            <w:r w:rsidRPr="00441372">
              <w:rPr>
                <w:bCs/>
              </w:rPr>
              <w:t xml:space="preserve"> </w:t>
            </w:r>
            <w:bookmarkStart w:id="29" w:name="sps9b"/>
            <w:bookmarkEnd w:id="29"/>
          </w:p>
        </w:tc>
      </w:tr>
      <w:tr w:rsidR="002260DC" w:rsidTr="00441372">
        <w:tc>
          <w:tcPr>
            <w:tcW w:w="707" w:type="dxa"/>
            <w:shd w:val="clear" w:color="auto" w:fill="auto"/>
          </w:tcPr>
          <w:p w:rsidR="00EA4725" w:rsidRPr="00441372" w:rsidRDefault="00ED2A80" w:rsidP="007D37E0">
            <w:pPr>
              <w:spacing w:before="80" w:after="80"/>
            </w:pPr>
            <w:r w:rsidRPr="00441372">
              <w:rPr>
                <w:b/>
              </w:rPr>
              <w:t>10.</w:t>
            </w:r>
          </w:p>
        </w:tc>
        <w:tc>
          <w:tcPr>
            <w:tcW w:w="8320" w:type="dxa"/>
            <w:shd w:val="clear" w:color="auto" w:fill="auto"/>
          </w:tcPr>
          <w:p w:rsidR="00EA4725" w:rsidRPr="00441372" w:rsidRDefault="00ED2A80" w:rsidP="007D37E0">
            <w:pPr>
              <w:spacing w:before="80" w:after="8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 April 2018</w:t>
            </w:r>
            <w:bookmarkStart w:id="30" w:name="sps10a"/>
            <w:bookmarkEnd w:id="30"/>
          </w:p>
          <w:p w:rsidR="00EA4725" w:rsidRPr="00441372" w:rsidRDefault="00ED2A80" w:rsidP="007D37E0">
            <w:pPr>
              <w:spacing w:after="8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 April 2018</w:t>
            </w:r>
            <w:bookmarkStart w:id="31" w:name="sps10bisa"/>
            <w:bookmarkEnd w:id="31"/>
          </w:p>
        </w:tc>
      </w:tr>
      <w:tr w:rsidR="002260DC" w:rsidTr="00CD68B8">
        <w:tc>
          <w:tcPr>
            <w:tcW w:w="707" w:type="dxa"/>
            <w:tcBorders>
              <w:bottom w:val="single" w:sz="6" w:space="0" w:color="auto"/>
            </w:tcBorders>
            <w:shd w:val="clear" w:color="auto" w:fill="auto"/>
          </w:tcPr>
          <w:p w:rsidR="00EA4725" w:rsidRPr="00441372" w:rsidRDefault="00ED2A80" w:rsidP="007D37E0">
            <w:pPr>
              <w:spacing w:before="80" w:after="80"/>
            </w:pPr>
            <w:r w:rsidRPr="00441372">
              <w:rPr>
                <w:b/>
              </w:rPr>
              <w:t>11.</w:t>
            </w:r>
          </w:p>
        </w:tc>
        <w:tc>
          <w:tcPr>
            <w:tcW w:w="8320" w:type="dxa"/>
            <w:tcBorders>
              <w:bottom w:val="single" w:sz="6" w:space="0" w:color="auto"/>
            </w:tcBorders>
            <w:shd w:val="clear" w:color="auto" w:fill="auto"/>
          </w:tcPr>
          <w:p w:rsidR="00EA4725" w:rsidRPr="00441372" w:rsidRDefault="00ED2A80" w:rsidP="007D37E0">
            <w:pPr>
              <w:spacing w:before="80" w:after="8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 April 2018</w:t>
            </w:r>
            <w:bookmarkStart w:id="33" w:name="sps11a"/>
            <w:bookmarkEnd w:id="33"/>
          </w:p>
          <w:p w:rsidR="00EA4725" w:rsidRPr="00441372" w:rsidRDefault="00ED2A80" w:rsidP="007D37E0">
            <w:pPr>
              <w:spacing w:after="8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2260DC" w:rsidTr="00CD68B8">
        <w:tc>
          <w:tcPr>
            <w:tcW w:w="707" w:type="dxa"/>
            <w:tcBorders>
              <w:top w:val="single" w:sz="6" w:space="0" w:color="auto"/>
              <w:bottom w:val="single" w:sz="4" w:space="0" w:color="auto"/>
            </w:tcBorders>
            <w:shd w:val="clear" w:color="auto" w:fill="auto"/>
          </w:tcPr>
          <w:p w:rsidR="00EA4725" w:rsidRPr="00584FB3" w:rsidRDefault="00ED2A80" w:rsidP="007D37E0">
            <w:pPr>
              <w:spacing w:before="80" w:after="80"/>
            </w:pPr>
            <w:r w:rsidRPr="00584FB3">
              <w:rPr>
                <w:b/>
              </w:rPr>
              <w:t>12.</w:t>
            </w:r>
          </w:p>
        </w:tc>
        <w:tc>
          <w:tcPr>
            <w:tcW w:w="8320" w:type="dxa"/>
            <w:tcBorders>
              <w:top w:val="single" w:sz="6" w:space="0" w:color="auto"/>
              <w:bottom w:val="single" w:sz="4" w:space="0" w:color="auto"/>
            </w:tcBorders>
            <w:shd w:val="clear" w:color="auto" w:fill="auto"/>
          </w:tcPr>
          <w:p w:rsidR="00EA4725" w:rsidRPr="00584FB3" w:rsidRDefault="00ED2A80" w:rsidP="007D37E0">
            <w:pPr>
              <w:spacing w:before="80" w:after="80"/>
            </w:pPr>
            <w:r w:rsidRPr="00584FB3">
              <w:rPr>
                <w:b/>
              </w:rPr>
              <w:t>Final date for comments: [</w:t>
            </w:r>
            <w:r w:rsidR="00F67445" w:rsidRPr="00584FB3">
              <w:rPr>
                <w:b/>
              </w:rPr>
              <w:t> </w:t>
            </w:r>
            <w:r w:rsidRPr="00584FB3">
              <w:rPr>
                <w:b/>
              </w:rPr>
              <w:t xml:space="preserve">] Sixty days from the date of circulation of the notification and/or </w:t>
            </w:r>
            <w:r w:rsidRPr="00584FB3">
              <w:rPr>
                <w:b/>
                <w:i/>
              </w:rPr>
              <w:t>(</w:t>
            </w:r>
            <w:proofErr w:type="spellStart"/>
            <w:r w:rsidRPr="00584FB3">
              <w:rPr>
                <w:b/>
                <w:i/>
              </w:rPr>
              <w:t>dd</w:t>
            </w:r>
            <w:proofErr w:type="spellEnd"/>
            <w:r w:rsidRPr="00584FB3">
              <w:rPr>
                <w:b/>
                <w:i/>
              </w:rPr>
              <w:t>/mm/</w:t>
            </w:r>
            <w:proofErr w:type="spellStart"/>
            <w:r w:rsidRPr="00584FB3">
              <w:rPr>
                <w:b/>
                <w:i/>
              </w:rPr>
              <w:t>yy</w:t>
            </w:r>
            <w:proofErr w:type="spellEnd"/>
            <w:r w:rsidRPr="00584FB3">
              <w:rPr>
                <w:b/>
                <w:i/>
              </w:rPr>
              <w:t>)</w:t>
            </w:r>
            <w:r w:rsidRPr="00584FB3">
              <w:rPr>
                <w:b/>
              </w:rPr>
              <w:t xml:space="preserve">: </w:t>
            </w:r>
            <w:bookmarkStart w:id="36" w:name="sps12a"/>
            <w:r w:rsidRPr="00584FB3">
              <w:t>8</w:t>
            </w:r>
            <w:r w:rsidR="00584FB3" w:rsidRPr="00584FB3">
              <w:t xml:space="preserve"> December </w:t>
            </w:r>
            <w:r w:rsidRPr="00584FB3">
              <w:t>2017</w:t>
            </w:r>
            <w:bookmarkEnd w:id="36"/>
          </w:p>
          <w:p w:rsidR="00EA4725" w:rsidRPr="00441372" w:rsidRDefault="00ED2A80" w:rsidP="007D37E0">
            <w:pPr>
              <w:spacing w:after="80"/>
            </w:pPr>
            <w:r w:rsidRPr="00584FB3">
              <w:rPr>
                <w:b/>
              </w:rPr>
              <w:t>Agency or authority designated to handle comments: [</w:t>
            </w:r>
            <w:bookmarkStart w:id="37" w:name="sps12b"/>
            <w:r w:rsidRPr="00584FB3">
              <w:rPr>
                <w:b/>
              </w:rPr>
              <w:t>X</w:t>
            </w:r>
            <w:bookmarkEnd w:id="37"/>
            <w:r w:rsidRPr="00584FB3">
              <w:rPr>
                <w:b/>
              </w:rPr>
              <w:t>] National Notification Authority, [</w:t>
            </w:r>
            <w:bookmarkStart w:id="38" w:name="sps12c"/>
            <w:r w:rsidRPr="00584FB3">
              <w:rPr>
                <w:b/>
              </w:rPr>
              <w:t>X</w:t>
            </w:r>
            <w:bookmarkEnd w:id="38"/>
            <w:r w:rsidRPr="00584FB3">
              <w:rPr>
                <w:b/>
              </w:rPr>
              <w:t>] National Enquiry Point. Address, fax number and e</w:t>
            </w:r>
            <w:r w:rsidRPr="00584FB3">
              <w:rPr>
                <w:b/>
              </w:rPr>
              <w:noBreakHyphen/>
              <w:t>mail address (if available) of other body:</w:t>
            </w:r>
            <w:r w:rsidRPr="00441372">
              <w:rPr>
                <w:b/>
              </w:rPr>
              <w:t xml:space="preserve"> </w:t>
            </w:r>
            <w:bookmarkStart w:id="39" w:name="sps12d"/>
            <w:bookmarkEnd w:id="39"/>
          </w:p>
        </w:tc>
      </w:tr>
      <w:tr w:rsidR="002260DC" w:rsidTr="00CD68B8">
        <w:tc>
          <w:tcPr>
            <w:tcW w:w="707" w:type="dxa"/>
            <w:tcBorders>
              <w:top w:val="single" w:sz="4" w:space="0" w:color="auto"/>
              <w:bottom w:val="double" w:sz="6" w:space="0" w:color="auto"/>
            </w:tcBorders>
            <w:shd w:val="clear" w:color="auto" w:fill="auto"/>
          </w:tcPr>
          <w:p w:rsidR="00EA4725" w:rsidRPr="00441372" w:rsidRDefault="00ED2A80" w:rsidP="007D37E0">
            <w:pPr>
              <w:spacing w:before="80" w:after="80"/>
            </w:pPr>
            <w:r w:rsidRPr="00441372">
              <w:rPr>
                <w:b/>
              </w:rPr>
              <w:t>13.</w:t>
            </w:r>
          </w:p>
        </w:tc>
        <w:tc>
          <w:tcPr>
            <w:tcW w:w="8320" w:type="dxa"/>
            <w:tcBorders>
              <w:top w:val="single" w:sz="4" w:space="0" w:color="auto"/>
              <w:bottom w:val="double" w:sz="6" w:space="0" w:color="auto"/>
            </w:tcBorders>
            <w:shd w:val="clear" w:color="auto" w:fill="auto"/>
          </w:tcPr>
          <w:p w:rsidR="00EA4725" w:rsidRPr="00441372" w:rsidRDefault="00ED2A80" w:rsidP="007D37E0">
            <w:pPr>
              <w:spacing w:before="80" w:after="80"/>
              <w:rPr>
                <w:b/>
              </w:rPr>
            </w:pPr>
            <w:r w:rsidRPr="00441372">
              <w:rPr>
                <w:b/>
              </w:rPr>
              <w:t>Text(s) available from: [</w:t>
            </w:r>
            <w:bookmarkStart w:id="40" w:name="sps13a"/>
            <w:r w:rsidRPr="00441372">
              <w:rPr>
                <w:b/>
              </w:rPr>
              <w:t>X</w:t>
            </w:r>
            <w:bookmarkEnd w:id="40"/>
            <w:r w:rsidRPr="00441372">
              <w:rPr>
                <w:b/>
              </w:rPr>
              <w:t>] National Notification Authority, [</w:t>
            </w:r>
            <w:bookmarkStart w:id="41" w:name="sps13b"/>
            <w:r w:rsidRPr="00441372">
              <w:rPr>
                <w:b/>
              </w:rPr>
              <w:t>X</w:t>
            </w:r>
            <w:bookmarkEnd w:id="41"/>
            <w:r w:rsidRPr="00441372">
              <w:rPr>
                <w:b/>
              </w:rPr>
              <w:t>] National Enquiry Point. Address, fax number and e</w:t>
            </w:r>
            <w:r w:rsidRPr="00441372">
              <w:rPr>
                <w:b/>
              </w:rPr>
              <w:noBreakHyphen/>
              <w:t>mail address (if available) of other body:</w:t>
            </w:r>
            <w:r w:rsidRPr="00441372">
              <w:rPr>
                <w:bCs/>
              </w:rPr>
              <w:t xml:space="preserve"> </w:t>
            </w:r>
          </w:p>
          <w:p w:rsidR="002260DC" w:rsidRDefault="00ED2A80">
            <w:r>
              <w:t>National Notification Authority:</w:t>
            </w:r>
          </w:p>
          <w:p w:rsidR="002260DC" w:rsidRDefault="00ED2A80">
            <w:r>
              <w:t>Ministry of Foreign Affairs</w:t>
            </w:r>
          </w:p>
          <w:p w:rsidR="002260DC" w:rsidRDefault="00ED2A80">
            <w:r>
              <w:t>P.O. Box 8114 Dep</w:t>
            </w:r>
          </w:p>
          <w:p w:rsidR="002260DC" w:rsidRDefault="00ED2A80">
            <w:r>
              <w:t>0032 OSLO</w:t>
            </w:r>
          </w:p>
          <w:p w:rsidR="002260DC" w:rsidRDefault="00ED2A80">
            <w:r>
              <w:t>Norway</w:t>
            </w:r>
          </w:p>
          <w:p w:rsidR="002260DC" w:rsidRDefault="00ED2A80">
            <w:r>
              <w:t>Tel: +(47) 23 95 00 00</w:t>
            </w:r>
          </w:p>
          <w:p w:rsidR="002260DC" w:rsidRDefault="00ED2A80">
            <w:r>
              <w:t>Fax: +(47) 23 95 00 99</w:t>
            </w:r>
          </w:p>
          <w:p w:rsidR="002260DC" w:rsidRPr="007D37E0" w:rsidRDefault="00ED2A80" w:rsidP="007D37E0">
            <w:pPr>
              <w:spacing w:after="80"/>
              <w:rPr>
                <w:lang w:val="fr-FR"/>
              </w:rPr>
            </w:pPr>
            <w:r w:rsidRPr="007D37E0">
              <w:rPr>
                <w:lang w:val="fr-FR"/>
              </w:rPr>
              <w:t>E-mail: post@mfa.no</w:t>
            </w:r>
          </w:p>
          <w:p w:rsidR="002260DC" w:rsidRPr="007D37E0" w:rsidRDefault="00ED2A80">
            <w:pPr>
              <w:rPr>
                <w:lang w:val="fr-FR"/>
              </w:rPr>
            </w:pPr>
            <w:r w:rsidRPr="007D37E0">
              <w:rPr>
                <w:lang w:val="fr-FR"/>
              </w:rPr>
              <w:t xml:space="preserve">National </w:t>
            </w:r>
            <w:proofErr w:type="spellStart"/>
            <w:r w:rsidRPr="007D37E0">
              <w:rPr>
                <w:lang w:val="fr-FR"/>
              </w:rPr>
              <w:t>Enquiry</w:t>
            </w:r>
            <w:proofErr w:type="spellEnd"/>
            <w:r w:rsidRPr="007D37E0">
              <w:rPr>
                <w:lang w:val="fr-FR"/>
              </w:rPr>
              <w:t xml:space="preserve"> Point:</w:t>
            </w:r>
          </w:p>
          <w:p w:rsidR="002260DC" w:rsidRDefault="00ED2A80">
            <w:r>
              <w:t>Norwegian Ministry of Agriculture and Food</w:t>
            </w:r>
          </w:p>
          <w:p w:rsidR="002260DC" w:rsidRDefault="00ED2A80">
            <w:r>
              <w:t>P.O. Box 8007 Dep</w:t>
            </w:r>
          </w:p>
          <w:p w:rsidR="002260DC" w:rsidRDefault="00ED2A80">
            <w:r>
              <w:t>0030 Oslo</w:t>
            </w:r>
          </w:p>
          <w:p w:rsidR="002260DC" w:rsidRDefault="00ED2A80">
            <w:r>
              <w:t>Norway</w:t>
            </w:r>
          </w:p>
          <w:p w:rsidR="002260DC" w:rsidRDefault="00ED2A80">
            <w:r>
              <w:t>Tel: +(47) 22 24 9090</w:t>
            </w:r>
          </w:p>
          <w:p w:rsidR="002260DC" w:rsidRDefault="00ED2A80">
            <w:r>
              <w:t>Fax: +(47) 22 24 9559</w:t>
            </w:r>
          </w:p>
          <w:p w:rsidR="002260DC" w:rsidRDefault="00ED2A80" w:rsidP="007D37E0">
            <w:pPr>
              <w:spacing w:after="80"/>
            </w:pPr>
            <w:r>
              <w:t>E-mail: postmottak@lmd.dep.no</w:t>
            </w:r>
          </w:p>
          <w:p w:rsidR="002260DC" w:rsidRDefault="00ED2A80">
            <w:r>
              <w:t>Agency responsible:</w:t>
            </w:r>
          </w:p>
          <w:p w:rsidR="002260DC" w:rsidRDefault="00ED2A80">
            <w:r>
              <w:t>Norwegian Food Safety Authority</w:t>
            </w:r>
          </w:p>
          <w:p w:rsidR="002260DC" w:rsidRDefault="00ED2A80">
            <w:r>
              <w:t>P.O. Box 383</w:t>
            </w:r>
          </w:p>
          <w:p w:rsidR="002260DC" w:rsidRDefault="00ED2A80">
            <w:r>
              <w:t xml:space="preserve">N-2381 </w:t>
            </w:r>
            <w:proofErr w:type="spellStart"/>
            <w:r>
              <w:t>Brumunddal</w:t>
            </w:r>
            <w:proofErr w:type="spellEnd"/>
          </w:p>
          <w:p w:rsidR="002260DC" w:rsidRDefault="00ED2A80">
            <w:r>
              <w:t>Fax: +(47) 23 21 68 01</w:t>
            </w:r>
          </w:p>
          <w:p w:rsidR="002260DC" w:rsidRDefault="00ED2A80">
            <w:r>
              <w:t>E-mail: postmottak@mattilsynet.no</w:t>
            </w:r>
          </w:p>
          <w:p w:rsidR="002260DC" w:rsidRDefault="00ED2A80">
            <w:pPr>
              <w:spacing w:after="120"/>
            </w:pPr>
            <w:r>
              <w:t xml:space="preserve">Website: </w:t>
            </w:r>
            <w:hyperlink r:id="rId9" w:tgtFrame="_blank" w:history="1">
              <w:r>
                <w:rPr>
                  <w:color w:val="0000FF"/>
                  <w:u w:val="single"/>
                </w:rPr>
                <w:t>http://www.mattilsynet.no/language/english/plants/</w:t>
              </w:r>
            </w:hyperlink>
            <w:bookmarkStart w:id="42" w:name="sps13c"/>
            <w:bookmarkEnd w:id="42"/>
          </w:p>
        </w:tc>
      </w:tr>
    </w:tbl>
    <w:p w:rsidR="007141CF" w:rsidRPr="000E7619" w:rsidRDefault="006B48DF" w:rsidP="00441372">
      <w:pPr>
        <w:rPr>
          <w:szCs w:val="18"/>
        </w:rPr>
      </w:pPr>
    </w:p>
    <w:sectPr w:rsidR="007141CF" w:rsidRPr="000E7619" w:rsidSect="00DB763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3E" w:rsidRDefault="00ED2A80">
      <w:r>
        <w:separator/>
      </w:r>
    </w:p>
  </w:endnote>
  <w:endnote w:type="continuationSeparator" w:id="0">
    <w:p w:rsidR="0037003E" w:rsidRDefault="00ED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B763F" w:rsidRDefault="00DB763F" w:rsidP="00DB763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B763F" w:rsidRDefault="00DB763F" w:rsidP="00DB763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D2A80"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3E" w:rsidRDefault="00ED2A80">
      <w:r>
        <w:separator/>
      </w:r>
    </w:p>
  </w:footnote>
  <w:footnote w:type="continuationSeparator" w:id="0">
    <w:p w:rsidR="0037003E" w:rsidRDefault="00ED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3F" w:rsidRPr="00DB763F" w:rsidRDefault="00DB763F" w:rsidP="00DB763F">
    <w:pPr>
      <w:pStyle w:val="En-tte"/>
      <w:pBdr>
        <w:bottom w:val="single" w:sz="4" w:space="1" w:color="auto"/>
      </w:pBdr>
      <w:tabs>
        <w:tab w:val="clear" w:pos="4513"/>
        <w:tab w:val="clear" w:pos="9027"/>
      </w:tabs>
      <w:jc w:val="center"/>
    </w:pPr>
    <w:r w:rsidRPr="00DB763F">
      <w:t>G/SPS/N/NOR/36</w:t>
    </w:r>
  </w:p>
  <w:p w:rsidR="00DB763F" w:rsidRPr="00DB763F" w:rsidRDefault="00DB763F" w:rsidP="00DB763F">
    <w:pPr>
      <w:pStyle w:val="En-tte"/>
      <w:pBdr>
        <w:bottom w:val="single" w:sz="4" w:space="1" w:color="auto"/>
      </w:pBdr>
      <w:tabs>
        <w:tab w:val="clear" w:pos="4513"/>
        <w:tab w:val="clear" w:pos="9027"/>
      </w:tabs>
      <w:jc w:val="center"/>
    </w:pPr>
  </w:p>
  <w:p w:rsidR="00DB763F" w:rsidRPr="00DB763F" w:rsidRDefault="00DB763F" w:rsidP="00DB763F">
    <w:pPr>
      <w:pStyle w:val="En-tte"/>
      <w:pBdr>
        <w:bottom w:val="single" w:sz="4" w:space="1" w:color="auto"/>
      </w:pBdr>
      <w:tabs>
        <w:tab w:val="clear" w:pos="4513"/>
        <w:tab w:val="clear" w:pos="9027"/>
      </w:tabs>
      <w:jc w:val="center"/>
    </w:pPr>
    <w:r w:rsidRPr="00DB763F">
      <w:t xml:space="preserve">- </w:t>
    </w:r>
    <w:r w:rsidRPr="00DB763F">
      <w:fldChar w:fldCharType="begin"/>
    </w:r>
    <w:r w:rsidRPr="00DB763F">
      <w:instrText xml:space="preserve"> PAGE </w:instrText>
    </w:r>
    <w:r w:rsidRPr="00DB763F">
      <w:fldChar w:fldCharType="separate"/>
    </w:r>
    <w:r w:rsidR="006B48DF">
      <w:rPr>
        <w:noProof/>
      </w:rPr>
      <w:t>2</w:t>
    </w:r>
    <w:r w:rsidRPr="00DB763F">
      <w:fldChar w:fldCharType="end"/>
    </w:r>
    <w:r w:rsidRPr="00DB763F">
      <w:t xml:space="preserve"> -</w:t>
    </w:r>
  </w:p>
  <w:p w:rsidR="00EA4725" w:rsidRPr="00DB763F" w:rsidRDefault="006B48DF" w:rsidP="00DB763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3F" w:rsidRPr="00DB763F" w:rsidRDefault="00DB763F" w:rsidP="00DB763F">
    <w:pPr>
      <w:pStyle w:val="En-tte"/>
      <w:pBdr>
        <w:bottom w:val="single" w:sz="4" w:space="1" w:color="auto"/>
      </w:pBdr>
      <w:tabs>
        <w:tab w:val="clear" w:pos="4513"/>
        <w:tab w:val="clear" w:pos="9027"/>
      </w:tabs>
      <w:jc w:val="center"/>
    </w:pPr>
    <w:r w:rsidRPr="00DB763F">
      <w:t>G/SPS/N/NOR/36</w:t>
    </w:r>
  </w:p>
  <w:p w:rsidR="00DB763F" w:rsidRPr="00DB763F" w:rsidRDefault="00DB763F" w:rsidP="00DB763F">
    <w:pPr>
      <w:pStyle w:val="En-tte"/>
      <w:pBdr>
        <w:bottom w:val="single" w:sz="4" w:space="1" w:color="auto"/>
      </w:pBdr>
      <w:tabs>
        <w:tab w:val="clear" w:pos="4513"/>
        <w:tab w:val="clear" w:pos="9027"/>
      </w:tabs>
      <w:jc w:val="center"/>
    </w:pPr>
  </w:p>
  <w:p w:rsidR="00DB763F" w:rsidRPr="00DB763F" w:rsidRDefault="00DB763F" w:rsidP="00DB763F">
    <w:pPr>
      <w:pStyle w:val="En-tte"/>
      <w:pBdr>
        <w:bottom w:val="single" w:sz="4" w:space="1" w:color="auto"/>
      </w:pBdr>
      <w:tabs>
        <w:tab w:val="clear" w:pos="4513"/>
        <w:tab w:val="clear" w:pos="9027"/>
      </w:tabs>
      <w:jc w:val="center"/>
    </w:pPr>
    <w:r w:rsidRPr="00DB763F">
      <w:t xml:space="preserve">- </w:t>
    </w:r>
    <w:r w:rsidRPr="00DB763F">
      <w:fldChar w:fldCharType="begin"/>
    </w:r>
    <w:r w:rsidRPr="00DB763F">
      <w:instrText xml:space="preserve"> PAGE </w:instrText>
    </w:r>
    <w:r w:rsidRPr="00DB763F">
      <w:fldChar w:fldCharType="separate"/>
    </w:r>
    <w:r w:rsidR="007D37E0">
      <w:rPr>
        <w:noProof/>
      </w:rPr>
      <w:t>3</w:t>
    </w:r>
    <w:r w:rsidRPr="00DB763F">
      <w:fldChar w:fldCharType="end"/>
    </w:r>
    <w:r w:rsidRPr="00DB763F">
      <w:t xml:space="preserve"> -</w:t>
    </w:r>
  </w:p>
  <w:p w:rsidR="00EA4725" w:rsidRPr="00DB763F" w:rsidRDefault="006B48DF" w:rsidP="00DB763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60DC" w:rsidTr="00EE3CAF">
      <w:trPr>
        <w:trHeight w:val="240"/>
        <w:jc w:val="center"/>
      </w:trPr>
      <w:tc>
        <w:tcPr>
          <w:tcW w:w="3794" w:type="dxa"/>
          <w:shd w:val="clear" w:color="auto" w:fill="FFFFFF"/>
          <w:tcMar>
            <w:left w:w="108" w:type="dxa"/>
            <w:right w:w="108" w:type="dxa"/>
          </w:tcMar>
          <w:vAlign w:val="center"/>
        </w:tcPr>
        <w:p w:rsidR="00ED54E0" w:rsidRPr="00EA4725" w:rsidRDefault="006B48DF" w:rsidP="00422B6F">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EA4725" w:rsidRDefault="00DB763F" w:rsidP="00422B6F">
          <w:pPr>
            <w:jc w:val="right"/>
            <w:rPr>
              <w:b/>
              <w:color w:val="FF0000"/>
              <w:szCs w:val="16"/>
            </w:rPr>
          </w:pPr>
          <w:r>
            <w:rPr>
              <w:b/>
              <w:color w:val="FF0000"/>
              <w:szCs w:val="16"/>
            </w:rPr>
            <w:t xml:space="preserve"> </w:t>
          </w:r>
        </w:p>
      </w:tc>
    </w:tr>
    <w:bookmarkEnd w:id="43"/>
    <w:tr w:rsidR="002260DC" w:rsidTr="00EE3CAF">
      <w:trPr>
        <w:trHeight w:val="213"/>
        <w:jc w:val="center"/>
      </w:trPr>
      <w:tc>
        <w:tcPr>
          <w:tcW w:w="3794" w:type="dxa"/>
          <w:vMerge w:val="restart"/>
          <w:shd w:val="clear" w:color="auto" w:fill="FFFFFF"/>
          <w:tcMar>
            <w:left w:w="0" w:type="dxa"/>
            <w:right w:w="0" w:type="dxa"/>
          </w:tcMar>
        </w:tcPr>
        <w:p w:rsidR="00ED54E0" w:rsidRPr="00EA4725" w:rsidRDefault="006D731B" w:rsidP="00422B6F">
          <w:pPr>
            <w:jc w:val="left"/>
          </w:pPr>
          <w:r>
            <w:rPr>
              <w:noProof/>
              <w:lang w:val="fr-FR" w:eastAsia="fr-FR"/>
            </w:rPr>
            <w:drawing>
              <wp:inline distT="0" distB="0" distL="0" distR="0" wp14:anchorId="4F714B25" wp14:editId="485CB71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B48DF" w:rsidP="00422B6F">
          <w:pPr>
            <w:jc w:val="right"/>
            <w:rPr>
              <w:b/>
              <w:szCs w:val="16"/>
            </w:rPr>
          </w:pPr>
        </w:p>
      </w:tc>
    </w:tr>
    <w:tr w:rsidR="002260DC" w:rsidTr="00EE3CAF">
      <w:trPr>
        <w:trHeight w:val="868"/>
        <w:jc w:val="center"/>
      </w:trPr>
      <w:tc>
        <w:tcPr>
          <w:tcW w:w="3794" w:type="dxa"/>
          <w:vMerge/>
          <w:shd w:val="clear" w:color="auto" w:fill="FFFFFF"/>
          <w:tcMar>
            <w:left w:w="108" w:type="dxa"/>
            <w:right w:w="108" w:type="dxa"/>
          </w:tcMar>
        </w:tcPr>
        <w:p w:rsidR="00ED54E0" w:rsidRPr="00EA4725" w:rsidRDefault="006B48DF" w:rsidP="00422B6F">
          <w:pPr>
            <w:jc w:val="left"/>
            <w:rPr>
              <w:noProof/>
              <w:lang w:eastAsia="en-GB"/>
            </w:rPr>
          </w:pPr>
        </w:p>
      </w:tc>
      <w:tc>
        <w:tcPr>
          <w:tcW w:w="5448" w:type="dxa"/>
          <w:gridSpan w:val="2"/>
          <w:shd w:val="clear" w:color="auto" w:fill="FFFFFF"/>
          <w:tcMar>
            <w:left w:w="108" w:type="dxa"/>
            <w:right w:w="108" w:type="dxa"/>
          </w:tcMar>
        </w:tcPr>
        <w:p w:rsidR="00DB763F" w:rsidRDefault="00DB763F" w:rsidP="00656ABC">
          <w:pPr>
            <w:jc w:val="right"/>
            <w:rPr>
              <w:b/>
              <w:szCs w:val="16"/>
            </w:rPr>
          </w:pPr>
          <w:bookmarkStart w:id="44" w:name="bmkSymbols"/>
          <w:r>
            <w:rPr>
              <w:b/>
              <w:szCs w:val="16"/>
            </w:rPr>
            <w:t>G/SPS/N/NOR/36</w:t>
          </w:r>
        </w:p>
        <w:bookmarkEnd w:id="44"/>
        <w:p w:rsidR="00656ABC" w:rsidRPr="00EA4725" w:rsidRDefault="006B48DF" w:rsidP="00656ABC">
          <w:pPr>
            <w:jc w:val="right"/>
            <w:rPr>
              <w:b/>
              <w:szCs w:val="16"/>
            </w:rPr>
          </w:pPr>
        </w:p>
      </w:tc>
    </w:tr>
    <w:tr w:rsidR="002260DC" w:rsidTr="00EE3CAF">
      <w:trPr>
        <w:trHeight w:val="240"/>
        <w:jc w:val="center"/>
      </w:trPr>
      <w:tc>
        <w:tcPr>
          <w:tcW w:w="3794" w:type="dxa"/>
          <w:vMerge/>
          <w:shd w:val="clear" w:color="auto" w:fill="FFFFFF"/>
          <w:tcMar>
            <w:left w:w="108" w:type="dxa"/>
            <w:right w:w="108" w:type="dxa"/>
          </w:tcMar>
          <w:vAlign w:val="center"/>
        </w:tcPr>
        <w:p w:rsidR="00ED54E0" w:rsidRPr="00EA4725" w:rsidRDefault="006B48DF" w:rsidP="00422B6F"/>
      </w:tc>
      <w:tc>
        <w:tcPr>
          <w:tcW w:w="5448" w:type="dxa"/>
          <w:gridSpan w:val="2"/>
          <w:shd w:val="clear" w:color="auto" w:fill="FFFFFF"/>
          <w:tcMar>
            <w:left w:w="108" w:type="dxa"/>
            <w:right w:w="108" w:type="dxa"/>
          </w:tcMar>
          <w:vAlign w:val="center"/>
        </w:tcPr>
        <w:p w:rsidR="00ED54E0" w:rsidRPr="00EA4725" w:rsidRDefault="006B48DF" w:rsidP="00422B6F">
          <w:pPr>
            <w:jc w:val="right"/>
            <w:rPr>
              <w:szCs w:val="16"/>
            </w:rPr>
          </w:pPr>
          <w:bookmarkStart w:id="45" w:name="spsDateDistribution"/>
          <w:bookmarkEnd w:id="45"/>
          <w:r>
            <w:rPr>
              <w:szCs w:val="16"/>
            </w:rPr>
            <w:t xml:space="preserve">14 September </w:t>
          </w:r>
          <w:r>
            <w:rPr>
              <w:szCs w:val="16"/>
            </w:rPr>
            <w:t>2017</w:t>
          </w:r>
          <w:bookmarkStart w:id="46" w:name="_GoBack"/>
          <w:bookmarkEnd w:id="46"/>
        </w:p>
      </w:tc>
    </w:tr>
    <w:tr w:rsidR="002260D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D2A80" w:rsidP="00422B6F">
          <w:pPr>
            <w:jc w:val="left"/>
            <w:rPr>
              <w:b/>
            </w:rPr>
          </w:pPr>
          <w:bookmarkStart w:id="47" w:name="bmkSerial"/>
          <w:r w:rsidRPr="00441372">
            <w:rPr>
              <w:color w:val="FF0000"/>
              <w:szCs w:val="16"/>
            </w:rPr>
            <w:t>(</w:t>
          </w:r>
          <w:bookmarkStart w:id="48" w:name="spsSerialNumber"/>
          <w:bookmarkEnd w:id="48"/>
          <w:r w:rsidR="006B48DF">
            <w:rPr>
              <w:color w:val="FF0000"/>
              <w:szCs w:val="16"/>
            </w:rPr>
            <w:t>17-4859</w:t>
          </w:r>
          <w:r w:rsidRPr="00441372">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EA4725" w:rsidRDefault="00ED2A80" w:rsidP="00422B6F">
          <w:pPr>
            <w:jc w:val="right"/>
            <w:rPr>
              <w:szCs w:val="16"/>
            </w:rPr>
          </w:pPr>
          <w:bookmarkStart w:id="49"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6B48D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6B48DF">
            <w:rPr>
              <w:bCs/>
              <w:noProof/>
              <w:szCs w:val="16"/>
            </w:rPr>
            <w:t>2</w:t>
          </w:r>
          <w:r w:rsidRPr="00441372">
            <w:rPr>
              <w:bCs/>
              <w:szCs w:val="16"/>
            </w:rPr>
            <w:fldChar w:fldCharType="end"/>
          </w:r>
          <w:bookmarkEnd w:id="49"/>
        </w:p>
      </w:tc>
    </w:tr>
    <w:tr w:rsidR="002260D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B763F" w:rsidP="00422B6F">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41372" w:rsidRDefault="00DB763F" w:rsidP="00EC687E">
          <w:pPr>
            <w:jc w:val="right"/>
            <w:rPr>
              <w:bCs/>
              <w:szCs w:val="18"/>
            </w:rPr>
          </w:pPr>
          <w:bookmarkStart w:id="51" w:name="bmkLanguage"/>
          <w:r>
            <w:rPr>
              <w:bCs/>
              <w:szCs w:val="18"/>
            </w:rPr>
            <w:t>Original: English</w:t>
          </w:r>
          <w:bookmarkEnd w:id="51"/>
        </w:p>
      </w:tc>
    </w:tr>
  </w:tbl>
  <w:p w:rsidR="00ED54E0" w:rsidRPr="00441372" w:rsidRDefault="006B48D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51E45EA"/>
    <w:multiLevelType w:val="hybridMultilevel"/>
    <w:tmpl w:val="B22C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0CAA4CEA">
      <w:start w:val="1"/>
      <w:numFmt w:val="decimal"/>
      <w:pStyle w:val="SummaryText"/>
      <w:lvlText w:val="%1."/>
      <w:lvlJc w:val="left"/>
      <w:pPr>
        <w:ind w:left="360" w:hanging="360"/>
      </w:pPr>
    </w:lvl>
    <w:lvl w:ilvl="1" w:tplc="43243C2C" w:tentative="1">
      <w:start w:val="1"/>
      <w:numFmt w:val="lowerLetter"/>
      <w:lvlText w:val="%2."/>
      <w:lvlJc w:val="left"/>
      <w:pPr>
        <w:ind w:left="1080" w:hanging="360"/>
      </w:pPr>
    </w:lvl>
    <w:lvl w:ilvl="2" w:tplc="E7DC92BC" w:tentative="1">
      <w:start w:val="1"/>
      <w:numFmt w:val="lowerRoman"/>
      <w:lvlText w:val="%3."/>
      <w:lvlJc w:val="right"/>
      <w:pPr>
        <w:ind w:left="1800" w:hanging="180"/>
      </w:pPr>
    </w:lvl>
    <w:lvl w:ilvl="3" w:tplc="D34EF834" w:tentative="1">
      <w:start w:val="1"/>
      <w:numFmt w:val="decimal"/>
      <w:lvlText w:val="%4."/>
      <w:lvlJc w:val="left"/>
      <w:pPr>
        <w:ind w:left="2520" w:hanging="360"/>
      </w:pPr>
    </w:lvl>
    <w:lvl w:ilvl="4" w:tplc="AACE2418" w:tentative="1">
      <w:start w:val="1"/>
      <w:numFmt w:val="lowerLetter"/>
      <w:lvlText w:val="%5."/>
      <w:lvlJc w:val="left"/>
      <w:pPr>
        <w:ind w:left="3240" w:hanging="360"/>
      </w:pPr>
    </w:lvl>
    <w:lvl w:ilvl="5" w:tplc="EE640266" w:tentative="1">
      <w:start w:val="1"/>
      <w:numFmt w:val="lowerRoman"/>
      <w:lvlText w:val="%6."/>
      <w:lvlJc w:val="right"/>
      <w:pPr>
        <w:ind w:left="3960" w:hanging="180"/>
      </w:pPr>
    </w:lvl>
    <w:lvl w:ilvl="6" w:tplc="73D42092" w:tentative="1">
      <w:start w:val="1"/>
      <w:numFmt w:val="decimal"/>
      <w:lvlText w:val="%7."/>
      <w:lvlJc w:val="left"/>
      <w:pPr>
        <w:ind w:left="4680" w:hanging="360"/>
      </w:pPr>
    </w:lvl>
    <w:lvl w:ilvl="7" w:tplc="CB540226" w:tentative="1">
      <w:start w:val="1"/>
      <w:numFmt w:val="lowerLetter"/>
      <w:lvlText w:val="%8."/>
      <w:lvlJc w:val="left"/>
      <w:pPr>
        <w:ind w:left="5400" w:hanging="360"/>
      </w:pPr>
    </w:lvl>
    <w:lvl w:ilvl="8" w:tplc="CFE409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DC"/>
    <w:rsid w:val="000E7619"/>
    <w:rsid w:val="001B4AB9"/>
    <w:rsid w:val="002057E4"/>
    <w:rsid w:val="002260DC"/>
    <w:rsid w:val="003114C1"/>
    <w:rsid w:val="0037003E"/>
    <w:rsid w:val="003B66FC"/>
    <w:rsid w:val="00584FB3"/>
    <w:rsid w:val="005C2A85"/>
    <w:rsid w:val="005C6D87"/>
    <w:rsid w:val="005E2C30"/>
    <w:rsid w:val="006B48DF"/>
    <w:rsid w:val="006D731B"/>
    <w:rsid w:val="007D37E0"/>
    <w:rsid w:val="007E3594"/>
    <w:rsid w:val="00B2052C"/>
    <w:rsid w:val="00BE2B3E"/>
    <w:rsid w:val="00C93C8A"/>
    <w:rsid w:val="00CD68B8"/>
    <w:rsid w:val="00CE0388"/>
    <w:rsid w:val="00D03BA6"/>
    <w:rsid w:val="00D24AA7"/>
    <w:rsid w:val="00D931DF"/>
    <w:rsid w:val="00DB763F"/>
    <w:rsid w:val="00EC649C"/>
    <w:rsid w:val="00ED2A80"/>
    <w:rsid w:val="00F51781"/>
    <w:rsid w:val="00F6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7/SPS/NOR/17_3978_00_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tilsynet.no/language/english/plan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770</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37</cp:revision>
  <cp:lastPrinted>2017-09-13T14:21:00Z</cp:lastPrinted>
  <dcterms:created xsi:type="dcterms:W3CDTF">2017-09-11T14:13:00Z</dcterms:created>
  <dcterms:modified xsi:type="dcterms:W3CDTF">2017-09-14T05:26:00Z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G/SPS/N/NOR/36</vt:lpwstr>
  </property>
</Properties>
</file>