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93439" w:rsidP="002F6A28">
      <w:pPr>
        <w:pStyle w:val="Titre"/>
        <w:rPr>
          <w:caps w:val="0"/>
          <w:kern w:val="0"/>
        </w:rPr>
      </w:pPr>
      <w:r w:rsidRPr="002F6A28">
        <w:rPr>
          <w:caps w:val="0"/>
          <w:kern w:val="0"/>
        </w:rPr>
        <w:t>NOTIFICATION</w:t>
      </w:r>
    </w:p>
    <w:p w:rsidR="009239F7" w:rsidRPr="002F6A28" w:rsidRDefault="00093439" w:rsidP="002F6A28">
      <w:pPr>
        <w:jc w:val="center"/>
      </w:pPr>
      <w:r w:rsidRPr="002F6A28">
        <w:t>The following notification is being circulated in accordance with Article 10.6</w:t>
      </w:r>
    </w:p>
    <w:p w:rsidR="009239F7" w:rsidRPr="002F6A28" w:rsidRDefault="001045C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A61D9" w:rsidTr="002F6A28">
        <w:tc>
          <w:tcPr>
            <w:tcW w:w="713" w:type="dxa"/>
            <w:shd w:val="clear" w:color="auto" w:fill="auto"/>
          </w:tcPr>
          <w:p w:rsidR="00F85C99" w:rsidRPr="002F6A28" w:rsidRDefault="00093439" w:rsidP="002F6A28">
            <w:pPr>
              <w:spacing w:before="120" w:after="120"/>
              <w:jc w:val="left"/>
            </w:pPr>
            <w:r w:rsidRPr="002F6A28">
              <w:rPr>
                <w:b/>
              </w:rPr>
              <w:t>1.</w:t>
            </w:r>
          </w:p>
        </w:tc>
        <w:tc>
          <w:tcPr>
            <w:tcW w:w="8546" w:type="dxa"/>
            <w:shd w:val="clear" w:color="auto" w:fill="auto"/>
          </w:tcPr>
          <w:p w:rsidR="00F85C99" w:rsidRPr="002F6A28" w:rsidRDefault="00093439"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093439" w:rsidP="002F6A28">
            <w:pPr>
              <w:spacing w:after="120"/>
            </w:pPr>
            <w:r w:rsidRPr="002F6A28">
              <w:rPr>
                <w:b/>
              </w:rPr>
              <w:t>If applicable, name of local government involved (Article 3.2 and 7.2):</w:t>
            </w:r>
            <w:r w:rsidRPr="002F6A28">
              <w:t xml:space="preserve"> </w:t>
            </w:r>
            <w:bookmarkStart w:id="1" w:name="sps1b"/>
            <w:bookmarkEnd w:id="1"/>
          </w:p>
        </w:tc>
      </w:tr>
      <w:tr w:rsidR="003A61D9" w:rsidTr="002F6A28">
        <w:tc>
          <w:tcPr>
            <w:tcW w:w="713" w:type="dxa"/>
            <w:shd w:val="clear" w:color="auto" w:fill="auto"/>
          </w:tcPr>
          <w:p w:rsidR="00F85C99" w:rsidRPr="002F6A28" w:rsidRDefault="00093439" w:rsidP="002F6A28">
            <w:pPr>
              <w:spacing w:before="120" w:after="120"/>
              <w:jc w:val="left"/>
            </w:pPr>
            <w:r w:rsidRPr="002F6A28">
              <w:rPr>
                <w:b/>
              </w:rPr>
              <w:t>2.</w:t>
            </w:r>
          </w:p>
        </w:tc>
        <w:tc>
          <w:tcPr>
            <w:tcW w:w="8546" w:type="dxa"/>
            <w:shd w:val="clear" w:color="auto" w:fill="auto"/>
          </w:tcPr>
          <w:p w:rsidR="00F85C99" w:rsidRPr="002F6A28" w:rsidRDefault="00093439" w:rsidP="002F6A28">
            <w:pPr>
              <w:spacing w:before="120" w:after="120"/>
              <w:jc w:val="left"/>
            </w:pPr>
            <w:r w:rsidRPr="002F6A28">
              <w:rPr>
                <w:b/>
              </w:rPr>
              <w:t xml:space="preserve">Agency responsible: </w:t>
            </w:r>
            <w:r>
              <w:t>Malawi Bureau of Standards</w:t>
            </w:r>
            <w:bookmarkStart w:id="2" w:name="sps2a"/>
            <w:bookmarkEnd w:id="2"/>
          </w:p>
          <w:p w:rsidR="00F85C99" w:rsidRPr="002F6A28" w:rsidRDefault="0009343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A61D9" w:rsidTr="002F6A28">
        <w:tc>
          <w:tcPr>
            <w:tcW w:w="713" w:type="dxa"/>
            <w:shd w:val="clear" w:color="auto" w:fill="auto"/>
          </w:tcPr>
          <w:p w:rsidR="00F85C99" w:rsidRPr="002F6A28" w:rsidRDefault="00093439" w:rsidP="002F6A28">
            <w:pPr>
              <w:spacing w:before="120" w:after="120"/>
              <w:jc w:val="left"/>
              <w:rPr>
                <w:b/>
              </w:rPr>
            </w:pPr>
            <w:r w:rsidRPr="002F6A28">
              <w:rPr>
                <w:b/>
              </w:rPr>
              <w:t>3.</w:t>
            </w:r>
          </w:p>
        </w:tc>
        <w:tc>
          <w:tcPr>
            <w:tcW w:w="8546" w:type="dxa"/>
            <w:shd w:val="clear" w:color="auto" w:fill="auto"/>
          </w:tcPr>
          <w:p w:rsidR="00F85C99" w:rsidRPr="002F6A28" w:rsidRDefault="00093439" w:rsidP="0063521F">
            <w:pPr>
              <w:spacing w:before="120" w:after="120"/>
              <w:rPr>
                <w:b/>
              </w:rPr>
            </w:pPr>
            <w:r w:rsidRPr="002F6A28">
              <w:rPr>
                <w:b/>
              </w:rPr>
              <w:t>Notified under Article 2.9.2 [</w:t>
            </w:r>
            <w:bookmarkStart w:id="4" w:name="tbt3a"/>
            <w:r w:rsidRPr="002F6A28">
              <w:rPr>
                <w:b/>
              </w:rPr>
              <w:t>X</w:t>
            </w:r>
            <w:bookmarkEnd w:id="4"/>
            <w:r w:rsidRPr="002F6A28">
              <w:rPr>
                <w:b/>
              </w:rPr>
              <w:t>], 2.10.1 [</w:t>
            </w:r>
            <w:r w:rsidR="00B672C8" w:rsidRPr="002F6A28">
              <w:rPr>
                <w:b/>
              </w:rPr>
              <w:t> </w:t>
            </w:r>
            <w:r w:rsidRPr="002F6A28">
              <w:rPr>
                <w:b/>
              </w:rPr>
              <w:t>], 5.6.2 [</w:t>
            </w:r>
            <w:bookmarkStart w:id="5" w:name="tbt3c"/>
            <w:r w:rsidRPr="002F6A28">
              <w:rPr>
                <w:b/>
              </w:rPr>
              <w:t>X</w:t>
            </w:r>
            <w:bookmarkEnd w:id="5"/>
            <w:r w:rsidRPr="002F6A28">
              <w:rPr>
                <w:b/>
              </w:rPr>
              <w:t>], 5.7.1 [</w:t>
            </w:r>
            <w:r w:rsidR="00B672C8" w:rsidRPr="002F6A28">
              <w:rPr>
                <w:b/>
              </w:rPr>
              <w:t> </w:t>
            </w:r>
            <w:r w:rsidRPr="002F6A28">
              <w:rPr>
                <w:b/>
              </w:rPr>
              <w:t>], other:</w:t>
            </w:r>
            <w:bookmarkStart w:id="6" w:name="tbt3e"/>
            <w:bookmarkEnd w:id="6"/>
          </w:p>
        </w:tc>
      </w:tr>
      <w:tr w:rsidR="003A61D9" w:rsidTr="002F6A28">
        <w:tc>
          <w:tcPr>
            <w:tcW w:w="713" w:type="dxa"/>
            <w:shd w:val="clear" w:color="auto" w:fill="auto"/>
          </w:tcPr>
          <w:p w:rsidR="00F85C99" w:rsidRPr="002F6A28" w:rsidRDefault="00093439" w:rsidP="002F6A28">
            <w:pPr>
              <w:spacing w:before="120" w:after="120"/>
              <w:jc w:val="left"/>
            </w:pPr>
            <w:r w:rsidRPr="002F6A28">
              <w:rPr>
                <w:b/>
              </w:rPr>
              <w:t>4.</w:t>
            </w:r>
          </w:p>
        </w:tc>
        <w:tc>
          <w:tcPr>
            <w:tcW w:w="8546" w:type="dxa"/>
            <w:shd w:val="clear" w:color="auto" w:fill="auto"/>
          </w:tcPr>
          <w:p w:rsidR="00F85C99" w:rsidRPr="002F6A28" w:rsidRDefault="00093439" w:rsidP="004F2EE8">
            <w:pPr>
              <w:spacing w:before="120" w:after="120"/>
            </w:pPr>
            <w:r w:rsidRPr="002F6A28">
              <w:rPr>
                <w:b/>
              </w:rPr>
              <w:t xml:space="preserve">Products covered (HS or CCCN where applicable, otherwise national tariff heading. ICS numbers may be provided in addition, where applicable): </w:t>
            </w:r>
            <w:r>
              <w:t>Ground paprika</w:t>
            </w:r>
          </w:p>
          <w:p w:rsidR="003A61D9" w:rsidRDefault="00093439" w:rsidP="00395B93">
            <w:pPr>
              <w:spacing w:after="120"/>
            </w:pPr>
            <w:r>
              <w:t>Fruits of the genus Capsicum or of the genus Pimenta, dried or crushed or ground (HS</w:t>
            </w:r>
            <w:r w:rsidR="00395B93">
              <w:t> </w:t>
            </w:r>
            <w:r>
              <w:t>090420). Spices and condiments (ICS 67.220.10).</w:t>
            </w:r>
            <w:bookmarkStart w:id="7" w:name="sps3a"/>
            <w:bookmarkEnd w:id="7"/>
          </w:p>
        </w:tc>
      </w:tr>
      <w:tr w:rsidR="003A61D9" w:rsidTr="002F6A28">
        <w:tc>
          <w:tcPr>
            <w:tcW w:w="713" w:type="dxa"/>
            <w:shd w:val="clear" w:color="auto" w:fill="auto"/>
          </w:tcPr>
          <w:p w:rsidR="00F85C99" w:rsidRPr="002F6A28" w:rsidRDefault="00093439" w:rsidP="002F6A28">
            <w:pPr>
              <w:spacing w:before="120" w:after="120"/>
              <w:jc w:val="left"/>
            </w:pPr>
            <w:r w:rsidRPr="002F6A28">
              <w:rPr>
                <w:b/>
              </w:rPr>
              <w:t>5.</w:t>
            </w:r>
          </w:p>
        </w:tc>
        <w:tc>
          <w:tcPr>
            <w:tcW w:w="8546" w:type="dxa"/>
            <w:shd w:val="clear" w:color="auto" w:fill="auto"/>
          </w:tcPr>
          <w:p w:rsidR="00F85C99" w:rsidRPr="002F6A28" w:rsidRDefault="00093439" w:rsidP="004F2EE8">
            <w:pPr>
              <w:spacing w:before="120" w:after="120"/>
            </w:pPr>
            <w:r w:rsidRPr="002F6A28">
              <w:rPr>
                <w:b/>
              </w:rPr>
              <w:t xml:space="preserve">Title, number of pages and language(s) of the notified document: </w:t>
            </w:r>
            <w:r>
              <w:t>DMS 1290:2016, Ground paprika (Capsicum annum L.) – Specification (9 page(s), in English)</w:t>
            </w:r>
            <w:bookmarkStart w:id="8" w:name="sps5a"/>
            <w:bookmarkStart w:id="9" w:name="sps5b"/>
            <w:bookmarkEnd w:id="8"/>
            <w:bookmarkEnd w:id="9"/>
            <w:r w:rsidR="00B672C8" w:rsidRPr="002F6A28">
              <w:t xml:space="preserve"> </w:t>
            </w:r>
          </w:p>
        </w:tc>
      </w:tr>
      <w:tr w:rsidR="003A61D9" w:rsidTr="002F6A28">
        <w:tc>
          <w:tcPr>
            <w:tcW w:w="713" w:type="dxa"/>
            <w:shd w:val="clear" w:color="auto" w:fill="auto"/>
          </w:tcPr>
          <w:p w:rsidR="00F85C99" w:rsidRPr="002F6A28" w:rsidRDefault="00093439" w:rsidP="002F6A28">
            <w:pPr>
              <w:spacing w:before="120" w:after="120"/>
              <w:jc w:val="left"/>
              <w:rPr>
                <w:b/>
              </w:rPr>
            </w:pPr>
            <w:r w:rsidRPr="002F6A28">
              <w:rPr>
                <w:b/>
              </w:rPr>
              <w:t>6.</w:t>
            </w:r>
          </w:p>
        </w:tc>
        <w:tc>
          <w:tcPr>
            <w:tcW w:w="8546" w:type="dxa"/>
            <w:shd w:val="clear" w:color="auto" w:fill="auto"/>
          </w:tcPr>
          <w:p w:rsidR="00F85C99" w:rsidRPr="002F6A28" w:rsidRDefault="00093439" w:rsidP="004F2EE8">
            <w:pPr>
              <w:spacing w:before="120" w:after="120"/>
              <w:rPr>
                <w:b/>
              </w:rPr>
            </w:pPr>
            <w:r w:rsidRPr="002F6A28">
              <w:rPr>
                <w:b/>
              </w:rPr>
              <w:t xml:space="preserve">Description of content: </w:t>
            </w:r>
          </w:p>
          <w:p w:rsidR="003A61D9" w:rsidRDefault="00093439" w:rsidP="004F2EE8">
            <w:pPr>
              <w:spacing w:after="120"/>
            </w:pPr>
            <w:r>
              <w:t>This draft Malawi standard defines the requirements for ground paprika.</w:t>
            </w:r>
          </w:p>
          <w:p w:rsidR="003A61D9" w:rsidRDefault="00093439" w:rsidP="004F2EE8">
            <w:pPr>
              <w:spacing w:after="120"/>
            </w:pPr>
            <w:r>
              <w:t>This draft standard is not applicable to ground chillies and capsicums.</w:t>
            </w:r>
          </w:p>
          <w:p w:rsidR="003A61D9" w:rsidRDefault="00093439" w:rsidP="004F2EE8">
            <w:pPr>
              <w:spacing w:after="120"/>
            </w:pPr>
            <w:r>
              <w:t>Note 1: A list of terms used in different countries for paprika (Capsicum annuum L.) is given in Annex C.</w:t>
            </w:r>
          </w:p>
          <w:p w:rsidR="003A61D9" w:rsidRDefault="00093439" w:rsidP="004F2EE8">
            <w:pPr>
              <w:spacing w:after="120"/>
            </w:pPr>
            <w:r>
              <w:t>Note 2: Specifications for ground chillies and capscums are given in ISO 972.</w:t>
            </w:r>
            <w:bookmarkStart w:id="10" w:name="sps6a"/>
            <w:bookmarkEnd w:id="10"/>
          </w:p>
        </w:tc>
      </w:tr>
      <w:tr w:rsidR="003A61D9" w:rsidTr="00C670EE">
        <w:tc>
          <w:tcPr>
            <w:tcW w:w="713" w:type="dxa"/>
            <w:tcBorders>
              <w:bottom w:val="single" w:sz="6" w:space="0" w:color="auto"/>
            </w:tcBorders>
            <w:shd w:val="clear" w:color="auto" w:fill="auto"/>
          </w:tcPr>
          <w:p w:rsidR="00F85C99" w:rsidRPr="002F6A28" w:rsidRDefault="00093439"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093439" w:rsidP="004F2EE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1" w:name="sps7f"/>
            <w:bookmarkEnd w:id="11"/>
          </w:p>
        </w:tc>
      </w:tr>
      <w:tr w:rsidR="003A61D9" w:rsidTr="00C670EE">
        <w:tc>
          <w:tcPr>
            <w:tcW w:w="713" w:type="dxa"/>
            <w:tcBorders>
              <w:top w:val="single" w:sz="6" w:space="0" w:color="auto"/>
              <w:bottom w:val="single" w:sz="6" w:space="0" w:color="auto"/>
            </w:tcBorders>
            <w:shd w:val="clear" w:color="auto" w:fill="auto"/>
          </w:tcPr>
          <w:p w:rsidR="00F85C99" w:rsidRPr="002F6A28" w:rsidRDefault="0009343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93439" w:rsidP="004F2EE8">
            <w:pPr>
              <w:spacing w:before="120" w:after="120"/>
            </w:pPr>
            <w:r w:rsidRPr="002F6A28">
              <w:rPr>
                <w:b/>
              </w:rPr>
              <w:t>Relevant documents:</w:t>
            </w:r>
            <w:r w:rsidRPr="002F6A28">
              <w:t xml:space="preserve"> </w:t>
            </w:r>
          </w:p>
          <w:p w:rsidR="00F85C99" w:rsidRPr="002F6A28" w:rsidRDefault="00093439" w:rsidP="004F2EE8">
            <w:pPr>
              <w:numPr>
                <w:ilvl w:val="0"/>
                <w:numId w:val="16"/>
              </w:numPr>
              <w:spacing w:after="120"/>
            </w:pPr>
            <w:r>
              <w:t>Codex Alimentarius Commission/RCP 22-1979, Code of Hygienic Practice for Spices and Dried Aromatic Plants;</w:t>
            </w:r>
          </w:p>
          <w:p w:rsidR="003A61D9" w:rsidRDefault="00093439" w:rsidP="004F2EE8">
            <w:pPr>
              <w:numPr>
                <w:ilvl w:val="0"/>
                <w:numId w:val="16"/>
              </w:numPr>
              <w:spacing w:after="120"/>
            </w:pPr>
            <w:r>
              <w:t>ISO 15161, Guidelines on the application of ISO 9001:2000 for the food and drink industry;</w:t>
            </w:r>
          </w:p>
          <w:p w:rsidR="003A61D9" w:rsidRDefault="00093439" w:rsidP="004F2EE8">
            <w:pPr>
              <w:numPr>
                <w:ilvl w:val="0"/>
                <w:numId w:val="16"/>
              </w:numPr>
              <w:spacing w:after="120"/>
            </w:pPr>
            <w:r>
              <w:t>ISO 22000, Food safety management systems – Requirements for any organization in the food chain;</w:t>
            </w:r>
          </w:p>
          <w:p w:rsidR="003A61D9" w:rsidRDefault="00093439" w:rsidP="004F2EE8">
            <w:pPr>
              <w:numPr>
                <w:ilvl w:val="0"/>
                <w:numId w:val="16"/>
              </w:numPr>
              <w:spacing w:after="120"/>
            </w:pPr>
            <w:r>
              <w:t>ISO 948, Spices and condiments – Sampling;</w:t>
            </w:r>
          </w:p>
          <w:p w:rsidR="003A61D9" w:rsidRDefault="00093439" w:rsidP="004F2EE8">
            <w:pPr>
              <w:numPr>
                <w:ilvl w:val="0"/>
                <w:numId w:val="16"/>
              </w:numPr>
              <w:spacing w:after="120"/>
            </w:pPr>
            <w:r>
              <w:t>ISO 972, Chillies and capsicums, whole or ground (powdered) – Specification;</w:t>
            </w:r>
          </w:p>
          <w:p w:rsidR="003A61D9" w:rsidRDefault="00093439" w:rsidP="004F2EE8">
            <w:pPr>
              <w:numPr>
                <w:ilvl w:val="0"/>
                <w:numId w:val="16"/>
              </w:numPr>
              <w:spacing w:after="120"/>
            </w:pPr>
            <w:r>
              <w:lastRenderedPageBreak/>
              <w:t>MS 19, Labelling of pre-packed foods – General standard;</w:t>
            </w:r>
          </w:p>
          <w:p w:rsidR="003A61D9" w:rsidRDefault="00093439" w:rsidP="004F2EE8">
            <w:pPr>
              <w:numPr>
                <w:ilvl w:val="0"/>
                <w:numId w:val="16"/>
              </w:numPr>
              <w:spacing w:after="120"/>
            </w:pPr>
            <w:r>
              <w:t>MS 21, Food and food processing units – Code of hygienic conditions;</w:t>
            </w:r>
          </w:p>
          <w:p w:rsidR="003A61D9" w:rsidRDefault="00093439" w:rsidP="004F2EE8">
            <w:pPr>
              <w:numPr>
                <w:ilvl w:val="0"/>
                <w:numId w:val="16"/>
              </w:numPr>
              <w:spacing w:after="120"/>
            </w:pPr>
            <w:r>
              <w:t>MS 141, Spices and condiments – Determination of total ash;</w:t>
            </w:r>
          </w:p>
          <w:p w:rsidR="003A61D9" w:rsidRDefault="00093439" w:rsidP="004F2EE8">
            <w:pPr>
              <w:numPr>
                <w:ilvl w:val="0"/>
                <w:numId w:val="16"/>
              </w:numPr>
              <w:spacing w:after="120"/>
            </w:pPr>
            <w:r>
              <w:t>MS 919, Spices and condiments – Determination of acid-insoluble ash;</w:t>
            </w:r>
          </w:p>
          <w:p w:rsidR="003A61D9" w:rsidRDefault="00093439" w:rsidP="004F2EE8">
            <w:pPr>
              <w:numPr>
                <w:ilvl w:val="0"/>
                <w:numId w:val="16"/>
              </w:numPr>
              <w:spacing w:after="120"/>
            </w:pPr>
            <w:r>
              <w:t>MS 922, Spices and condiments – Determination of non-volatile ether extract;</w:t>
            </w:r>
          </w:p>
          <w:p w:rsidR="003A61D9" w:rsidRDefault="00093439" w:rsidP="004F2EE8">
            <w:pPr>
              <w:numPr>
                <w:ilvl w:val="0"/>
                <w:numId w:val="16"/>
              </w:numPr>
              <w:spacing w:after="120"/>
            </w:pPr>
            <w:r>
              <w:t>MS 1297, Ground (powdered) paprika – Microscopic examination;</w:t>
            </w:r>
          </w:p>
          <w:p w:rsidR="003A61D9" w:rsidRDefault="00093439" w:rsidP="004F2EE8">
            <w:pPr>
              <w:numPr>
                <w:ilvl w:val="0"/>
                <w:numId w:val="16"/>
              </w:numPr>
              <w:spacing w:after="120"/>
            </w:pPr>
            <w:r>
              <w:t>MS 1298, Ground (powdered) paprika – Determination of total natural colouring content; and</w:t>
            </w:r>
          </w:p>
          <w:p w:rsidR="003A61D9" w:rsidRDefault="00093439" w:rsidP="004F2EE8">
            <w:pPr>
              <w:numPr>
                <w:ilvl w:val="0"/>
                <w:numId w:val="16"/>
              </w:numPr>
              <w:spacing w:after="120"/>
            </w:pPr>
            <w:r>
              <w:t>ASTA, Analytical Methods 21.3:1998, Pungency of capsicums and their oleoresins (HLPC method).</w:t>
            </w:r>
          </w:p>
        </w:tc>
      </w:tr>
      <w:tr w:rsidR="003A61D9" w:rsidTr="00C670EE">
        <w:tc>
          <w:tcPr>
            <w:tcW w:w="713" w:type="dxa"/>
            <w:tcBorders>
              <w:top w:val="single" w:sz="6" w:space="0" w:color="auto"/>
            </w:tcBorders>
            <w:shd w:val="clear" w:color="auto" w:fill="auto"/>
          </w:tcPr>
          <w:p w:rsidR="00EE3A11" w:rsidRPr="002F6A28" w:rsidRDefault="00093439" w:rsidP="002F6A28">
            <w:pPr>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093439" w:rsidP="004F2EE8">
            <w:pPr>
              <w:spacing w:before="120" w:after="120"/>
            </w:pPr>
            <w:r w:rsidRPr="002F6A28">
              <w:rPr>
                <w:b/>
              </w:rPr>
              <w:t>Proposed date of adoption:</w:t>
            </w:r>
            <w:bookmarkStart w:id="12" w:name="sps10b"/>
            <w:r w:rsidR="00B672C8" w:rsidRPr="002F6A28">
              <w:rPr>
                <w:b/>
              </w:rPr>
              <w:t xml:space="preserve"> </w:t>
            </w:r>
            <w:r w:rsidRPr="002F6A28">
              <w:t>To be determined</w:t>
            </w:r>
            <w:bookmarkEnd w:id="12"/>
          </w:p>
          <w:p w:rsidR="00EE3A11" w:rsidRPr="002F6A28" w:rsidRDefault="00093439" w:rsidP="004F2EE8">
            <w:pPr>
              <w:spacing w:after="120"/>
            </w:pPr>
            <w:r w:rsidRPr="002F6A28">
              <w:rPr>
                <w:b/>
              </w:rPr>
              <w:t>Proposed date of entry into force:</w:t>
            </w:r>
            <w:bookmarkStart w:id="13" w:name="sps11b"/>
            <w:r w:rsidR="00B672C8" w:rsidRPr="002F6A28">
              <w:rPr>
                <w:b/>
              </w:rPr>
              <w:t xml:space="preserve"> </w:t>
            </w:r>
            <w:r w:rsidRPr="002F6A28">
              <w:t>To be determined</w:t>
            </w:r>
            <w:bookmarkEnd w:id="13"/>
          </w:p>
        </w:tc>
      </w:tr>
      <w:tr w:rsidR="003A61D9" w:rsidTr="002F6A28">
        <w:tc>
          <w:tcPr>
            <w:tcW w:w="713" w:type="dxa"/>
            <w:shd w:val="clear" w:color="auto" w:fill="auto"/>
          </w:tcPr>
          <w:p w:rsidR="00F85C99" w:rsidRPr="002F6A28" w:rsidRDefault="00093439" w:rsidP="002F6A28">
            <w:pPr>
              <w:spacing w:before="120" w:after="120"/>
              <w:jc w:val="left"/>
              <w:rPr>
                <w:b/>
              </w:rPr>
            </w:pPr>
            <w:r w:rsidRPr="002F6A28">
              <w:rPr>
                <w:b/>
              </w:rPr>
              <w:t>10.</w:t>
            </w:r>
          </w:p>
        </w:tc>
        <w:tc>
          <w:tcPr>
            <w:tcW w:w="8546" w:type="dxa"/>
            <w:shd w:val="clear" w:color="auto" w:fill="auto"/>
          </w:tcPr>
          <w:p w:rsidR="00F85C99" w:rsidRPr="002F6A28" w:rsidRDefault="00093439" w:rsidP="004F2EE8">
            <w:pPr>
              <w:spacing w:before="120" w:after="120"/>
            </w:pPr>
            <w:r w:rsidRPr="002F6A28">
              <w:rPr>
                <w:b/>
              </w:rPr>
              <w:t xml:space="preserve">Final date for comments: </w:t>
            </w:r>
            <w:r>
              <w:t>60 days from notification</w:t>
            </w:r>
            <w:bookmarkStart w:id="14" w:name="sps12a"/>
            <w:bookmarkEnd w:id="14"/>
          </w:p>
        </w:tc>
      </w:tr>
      <w:tr w:rsidR="003A61D9" w:rsidTr="002F6A28">
        <w:tc>
          <w:tcPr>
            <w:tcW w:w="713" w:type="dxa"/>
            <w:shd w:val="clear" w:color="auto" w:fill="auto"/>
          </w:tcPr>
          <w:p w:rsidR="00F85C99" w:rsidRPr="002F6A28" w:rsidRDefault="00093439" w:rsidP="002F6A28">
            <w:pPr>
              <w:spacing w:before="120" w:after="120"/>
              <w:jc w:val="left"/>
              <w:rPr>
                <w:b/>
              </w:rPr>
            </w:pPr>
            <w:r w:rsidRPr="002F6A28">
              <w:rPr>
                <w:b/>
              </w:rPr>
              <w:t>11.</w:t>
            </w:r>
          </w:p>
        </w:tc>
        <w:tc>
          <w:tcPr>
            <w:tcW w:w="8546" w:type="dxa"/>
            <w:shd w:val="clear" w:color="auto" w:fill="auto"/>
          </w:tcPr>
          <w:p w:rsidR="000129DD" w:rsidRPr="002F6A28" w:rsidRDefault="00093439" w:rsidP="002F6A28">
            <w:pPr>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1045CB" w:rsidP="002F6A28">
            <w:pPr>
              <w:spacing w:after="120"/>
              <w:jc w:val="left"/>
            </w:pPr>
            <w:hyperlink r:id="rId8" w:tgtFrame="_blank" w:history="1">
              <w:r w:rsidR="00093439">
                <w:rPr>
                  <w:color w:val="0000FF"/>
                  <w:u w:val="single"/>
                </w:rPr>
                <w:t>https://members.wto.org/crnattachments/2017/TBT/MWI/17_4371_00_e.pdf</w:t>
              </w:r>
            </w:hyperlink>
            <w:bookmarkStart w:id="16" w:name="sps13c"/>
            <w:bookmarkEnd w:id="16"/>
          </w:p>
        </w:tc>
      </w:tr>
    </w:tbl>
    <w:p w:rsidR="00EE3A11" w:rsidRPr="002F6A28" w:rsidRDefault="001045CB" w:rsidP="002F6A28"/>
    <w:sectPr w:rsidR="00EE3A11" w:rsidRPr="002F6A28" w:rsidSect="00A5757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60" w:rsidRDefault="00093439">
      <w:r>
        <w:separator/>
      </w:r>
    </w:p>
  </w:endnote>
  <w:endnote w:type="continuationSeparator" w:id="0">
    <w:p w:rsidR="00A55960" w:rsidRDefault="0009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5757F" w:rsidRDefault="00A5757F" w:rsidP="00A5757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5757F" w:rsidRDefault="00A5757F" w:rsidP="00A5757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9343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60" w:rsidRDefault="00093439">
      <w:r>
        <w:separator/>
      </w:r>
    </w:p>
  </w:footnote>
  <w:footnote w:type="continuationSeparator" w:id="0">
    <w:p w:rsidR="00A55960" w:rsidRDefault="0009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Pr="00A5757F" w:rsidRDefault="00A5757F" w:rsidP="00A5757F">
    <w:pPr>
      <w:pStyle w:val="En-tte"/>
      <w:pBdr>
        <w:bottom w:val="single" w:sz="4" w:space="1" w:color="auto"/>
      </w:pBdr>
      <w:tabs>
        <w:tab w:val="clear" w:pos="4513"/>
        <w:tab w:val="clear" w:pos="9027"/>
      </w:tabs>
      <w:jc w:val="center"/>
    </w:pPr>
    <w:r w:rsidRPr="00A5757F">
      <w:t>G/TBT/N/MWI/7</w:t>
    </w:r>
  </w:p>
  <w:p w:rsidR="00A5757F" w:rsidRPr="00A5757F" w:rsidRDefault="00A5757F" w:rsidP="00A5757F">
    <w:pPr>
      <w:pStyle w:val="En-tte"/>
      <w:pBdr>
        <w:bottom w:val="single" w:sz="4" w:space="1" w:color="auto"/>
      </w:pBdr>
      <w:tabs>
        <w:tab w:val="clear" w:pos="4513"/>
        <w:tab w:val="clear" w:pos="9027"/>
      </w:tabs>
      <w:jc w:val="center"/>
    </w:pPr>
  </w:p>
  <w:p w:rsidR="00A5757F" w:rsidRPr="00A5757F" w:rsidRDefault="00A5757F" w:rsidP="00A5757F">
    <w:pPr>
      <w:pStyle w:val="En-tte"/>
      <w:pBdr>
        <w:bottom w:val="single" w:sz="4" w:space="1" w:color="auto"/>
      </w:pBdr>
      <w:tabs>
        <w:tab w:val="clear" w:pos="4513"/>
        <w:tab w:val="clear" w:pos="9027"/>
      </w:tabs>
      <w:jc w:val="center"/>
    </w:pPr>
    <w:r w:rsidRPr="00A5757F">
      <w:t xml:space="preserve">- </w:t>
    </w:r>
    <w:r w:rsidRPr="00A5757F">
      <w:fldChar w:fldCharType="begin"/>
    </w:r>
    <w:r w:rsidRPr="00A5757F">
      <w:instrText xml:space="preserve"> PAGE </w:instrText>
    </w:r>
    <w:r w:rsidRPr="00A5757F">
      <w:fldChar w:fldCharType="separate"/>
    </w:r>
    <w:r w:rsidR="001045CB">
      <w:rPr>
        <w:noProof/>
      </w:rPr>
      <w:t>2</w:t>
    </w:r>
    <w:r w:rsidRPr="00A5757F">
      <w:fldChar w:fldCharType="end"/>
    </w:r>
    <w:r w:rsidRPr="00A5757F">
      <w:t xml:space="preserve"> -</w:t>
    </w:r>
  </w:p>
  <w:p w:rsidR="009239F7" w:rsidRPr="00A5757F" w:rsidRDefault="001045CB" w:rsidP="00A5757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Pr="00A5757F" w:rsidRDefault="00A5757F" w:rsidP="00A5757F">
    <w:pPr>
      <w:pStyle w:val="En-tte"/>
      <w:pBdr>
        <w:bottom w:val="single" w:sz="4" w:space="1" w:color="auto"/>
      </w:pBdr>
      <w:tabs>
        <w:tab w:val="clear" w:pos="4513"/>
        <w:tab w:val="clear" w:pos="9027"/>
      </w:tabs>
      <w:jc w:val="center"/>
    </w:pPr>
    <w:r w:rsidRPr="00A5757F">
      <w:t>G/TBT/N/MWI/7</w:t>
    </w:r>
  </w:p>
  <w:p w:rsidR="00A5757F" w:rsidRPr="00A5757F" w:rsidRDefault="00A5757F" w:rsidP="00A5757F">
    <w:pPr>
      <w:pStyle w:val="En-tte"/>
      <w:pBdr>
        <w:bottom w:val="single" w:sz="4" w:space="1" w:color="auto"/>
      </w:pBdr>
      <w:tabs>
        <w:tab w:val="clear" w:pos="4513"/>
        <w:tab w:val="clear" w:pos="9027"/>
      </w:tabs>
      <w:jc w:val="center"/>
    </w:pPr>
  </w:p>
  <w:p w:rsidR="00A5757F" w:rsidRPr="00A5757F" w:rsidRDefault="00A5757F" w:rsidP="00A5757F">
    <w:pPr>
      <w:pStyle w:val="En-tte"/>
      <w:pBdr>
        <w:bottom w:val="single" w:sz="4" w:space="1" w:color="auto"/>
      </w:pBdr>
      <w:tabs>
        <w:tab w:val="clear" w:pos="4513"/>
        <w:tab w:val="clear" w:pos="9027"/>
      </w:tabs>
      <w:jc w:val="center"/>
    </w:pPr>
    <w:r w:rsidRPr="00A5757F">
      <w:t xml:space="preserve">- </w:t>
    </w:r>
    <w:r w:rsidRPr="00A5757F">
      <w:fldChar w:fldCharType="begin"/>
    </w:r>
    <w:r w:rsidRPr="00A5757F">
      <w:instrText xml:space="preserve"> PAGE </w:instrText>
    </w:r>
    <w:r w:rsidRPr="00A5757F">
      <w:fldChar w:fldCharType="separate"/>
    </w:r>
    <w:r w:rsidRPr="00A5757F">
      <w:rPr>
        <w:noProof/>
      </w:rPr>
      <w:t>2</w:t>
    </w:r>
    <w:r w:rsidRPr="00A5757F">
      <w:fldChar w:fldCharType="end"/>
    </w:r>
    <w:r w:rsidRPr="00A5757F">
      <w:t xml:space="preserve"> -</w:t>
    </w:r>
  </w:p>
  <w:p w:rsidR="009239F7" w:rsidRPr="00A5757F" w:rsidRDefault="001045CB" w:rsidP="00A5757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61D9" w:rsidTr="008612A9">
      <w:trPr>
        <w:trHeight w:val="240"/>
        <w:jc w:val="center"/>
      </w:trPr>
      <w:tc>
        <w:tcPr>
          <w:tcW w:w="3794" w:type="dxa"/>
          <w:shd w:val="clear" w:color="auto" w:fill="FFFFFF"/>
          <w:tcMar>
            <w:left w:w="108" w:type="dxa"/>
            <w:right w:w="108" w:type="dxa"/>
          </w:tcMar>
          <w:vAlign w:val="center"/>
        </w:tcPr>
        <w:p w:rsidR="00ED54E0" w:rsidRPr="009239F7" w:rsidRDefault="001045CB"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A5757F" w:rsidP="00B801E9">
          <w:pPr>
            <w:jc w:val="right"/>
            <w:rPr>
              <w:b/>
              <w:color w:val="FF0000"/>
              <w:szCs w:val="16"/>
            </w:rPr>
          </w:pPr>
          <w:r>
            <w:rPr>
              <w:b/>
              <w:color w:val="FF0000"/>
              <w:szCs w:val="16"/>
            </w:rPr>
            <w:t xml:space="preserve"> </w:t>
          </w:r>
        </w:p>
      </w:tc>
    </w:tr>
    <w:bookmarkEnd w:id="17"/>
    <w:tr w:rsidR="003A61D9" w:rsidTr="008612A9">
      <w:trPr>
        <w:trHeight w:val="213"/>
        <w:jc w:val="center"/>
      </w:trPr>
      <w:tc>
        <w:tcPr>
          <w:tcW w:w="3794" w:type="dxa"/>
          <w:vMerge w:val="restart"/>
          <w:shd w:val="clear" w:color="auto" w:fill="FFFFFF"/>
          <w:tcMar>
            <w:left w:w="0" w:type="dxa"/>
            <w:right w:w="0" w:type="dxa"/>
          </w:tcMar>
        </w:tcPr>
        <w:p w:rsidR="00ED54E0" w:rsidRPr="009239F7" w:rsidRDefault="00A5757F" w:rsidP="00B801E9">
          <w:pPr>
            <w:jc w:val="left"/>
          </w:pPr>
          <w:r>
            <w:rPr>
              <w:noProof/>
              <w:lang w:val="fr-FR" w:eastAsia="fr-FR"/>
            </w:rPr>
            <w:drawing>
              <wp:inline distT="0" distB="0" distL="0" distR="0" wp14:anchorId="450D91E9" wp14:editId="34A3650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045CB" w:rsidP="00B801E9">
          <w:pPr>
            <w:jc w:val="right"/>
            <w:rPr>
              <w:b/>
              <w:szCs w:val="16"/>
            </w:rPr>
          </w:pPr>
        </w:p>
      </w:tc>
    </w:tr>
    <w:tr w:rsidR="003A61D9" w:rsidTr="008612A9">
      <w:trPr>
        <w:trHeight w:val="868"/>
        <w:jc w:val="center"/>
      </w:trPr>
      <w:tc>
        <w:tcPr>
          <w:tcW w:w="3794" w:type="dxa"/>
          <w:vMerge/>
          <w:shd w:val="clear" w:color="auto" w:fill="FFFFFF"/>
          <w:tcMar>
            <w:left w:w="108" w:type="dxa"/>
            <w:right w:w="108" w:type="dxa"/>
          </w:tcMar>
        </w:tcPr>
        <w:p w:rsidR="00ED54E0" w:rsidRPr="009239F7" w:rsidRDefault="001045CB" w:rsidP="00B801E9">
          <w:pPr>
            <w:jc w:val="left"/>
            <w:rPr>
              <w:noProof/>
              <w:lang w:eastAsia="en-GB"/>
            </w:rPr>
          </w:pPr>
        </w:p>
      </w:tc>
      <w:tc>
        <w:tcPr>
          <w:tcW w:w="5448" w:type="dxa"/>
          <w:gridSpan w:val="2"/>
          <w:shd w:val="clear" w:color="auto" w:fill="FFFFFF"/>
          <w:tcMar>
            <w:left w:w="108" w:type="dxa"/>
            <w:right w:w="108" w:type="dxa"/>
          </w:tcMar>
        </w:tcPr>
        <w:p w:rsidR="00A5757F" w:rsidRDefault="00A5757F" w:rsidP="00B801E9">
          <w:pPr>
            <w:jc w:val="right"/>
            <w:rPr>
              <w:b/>
              <w:szCs w:val="16"/>
            </w:rPr>
          </w:pPr>
          <w:bookmarkStart w:id="18" w:name="bmkSymbols"/>
          <w:r>
            <w:rPr>
              <w:b/>
              <w:szCs w:val="16"/>
            </w:rPr>
            <w:t>G/TBT/N/MWI/7</w:t>
          </w:r>
        </w:p>
        <w:bookmarkEnd w:id="18"/>
        <w:p w:rsidR="00ED54E0" w:rsidRPr="009239F7" w:rsidRDefault="001045CB" w:rsidP="00B801E9">
          <w:pPr>
            <w:jc w:val="right"/>
            <w:rPr>
              <w:b/>
              <w:szCs w:val="16"/>
            </w:rPr>
          </w:pPr>
        </w:p>
      </w:tc>
    </w:tr>
    <w:tr w:rsidR="003A61D9" w:rsidTr="008612A9">
      <w:trPr>
        <w:trHeight w:val="240"/>
        <w:jc w:val="center"/>
      </w:trPr>
      <w:tc>
        <w:tcPr>
          <w:tcW w:w="3794" w:type="dxa"/>
          <w:vMerge/>
          <w:shd w:val="clear" w:color="auto" w:fill="FFFFFF"/>
          <w:tcMar>
            <w:left w:w="108" w:type="dxa"/>
            <w:right w:w="108" w:type="dxa"/>
          </w:tcMar>
          <w:vAlign w:val="center"/>
        </w:tcPr>
        <w:p w:rsidR="00ED54E0" w:rsidRPr="009239F7" w:rsidRDefault="001045CB" w:rsidP="00B801E9"/>
      </w:tc>
      <w:tc>
        <w:tcPr>
          <w:tcW w:w="5448" w:type="dxa"/>
          <w:gridSpan w:val="2"/>
          <w:shd w:val="clear" w:color="auto" w:fill="FFFFFF"/>
          <w:tcMar>
            <w:left w:w="108" w:type="dxa"/>
            <w:right w:w="108" w:type="dxa"/>
          </w:tcMar>
          <w:vAlign w:val="center"/>
        </w:tcPr>
        <w:p w:rsidR="00ED54E0" w:rsidRPr="009239F7" w:rsidRDefault="001045CB" w:rsidP="00B801E9">
          <w:pPr>
            <w:jc w:val="right"/>
            <w:rPr>
              <w:szCs w:val="16"/>
            </w:rPr>
          </w:pPr>
          <w:bookmarkStart w:id="19" w:name="spsDateDistribution"/>
          <w:bookmarkStart w:id="20" w:name="bmkDate"/>
          <w:bookmarkEnd w:id="19"/>
          <w:bookmarkEnd w:id="20"/>
          <w:r>
            <w:rPr>
              <w:szCs w:val="16"/>
            </w:rPr>
            <w:t xml:space="preserve">29 September </w:t>
          </w:r>
          <w:r>
            <w:rPr>
              <w:szCs w:val="16"/>
            </w:rPr>
            <w:t>2017</w:t>
          </w:r>
          <w:bookmarkStart w:id="21" w:name="_GoBack"/>
          <w:bookmarkEnd w:id="21"/>
        </w:p>
      </w:tc>
    </w:tr>
    <w:tr w:rsidR="003A61D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93439" w:rsidP="0097650D">
          <w:pPr>
            <w:jc w:val="left"/>
            <w:rPr>
              <w:b/>
            </w:rPr>
          </w:pPr>
          <w:bookmarkStart w:id="22" w:name="bmkSerial"/>
          <w:r w:rsidRPr="002F6A28">
            <w:rPr>
              <w:color w:val="FF0000"/>
              <w:szCs w:val="16"/>
            </w:rPr>
            <w:t>(</w:t>
          </w:r>
          <w:bookmarkStart w:id="23" w:name="spsSerialNumber"/>
          <w:bookmarkEnd w:id="23"/>
          <w:r w:rsidR="001045CB">
            <w:rPr>
              <w:color w:val="FF0000"/>
              <w:szCs w:val="16"/>
            </w:rPr>
            <w:t>17-5212</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093439"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045C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045CB">
            <w:rPr>
              <w:bCs/>
              <w:noProof/>
              <w:szCs w:val="16"/>
            </w:rPr>
            <w:t>2</w:t>
          </w:r>
          <w:r w:rsidRPr="002F6A28">
            <w:rPr>
              <w:bCs/>
              <w:szCs w:val="16"/>
            </w:rPr>
            <w:fldChar w:fldCharType="end"/>
          </w:r>
          <w:bookmarkEnd w:id="24"/>
        </w:p>
      </w:tc>
    </w:tr>
    <w:tr w:rsidR="003A61D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757F"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A5757F" w:rsidP="00B801E9">
          <w:pPr>
            <w:jc w:val="right"/>
            <w:rPr>
              <w:bCs/>
              <w:szCs w:val="18"/>
            </w:rPr>
          </w:pPr>
          <w:bookmarkStart w:id="26" w:name="bmkLanguage"/>
          <w:r>
            <w:rPr>
              <w:bCs/>
              <w:szCs w:val="18"/>
            </w:rPr>
            <w:t>Original: English</w:t>
          </w:r>
          <w:bookmarkEnd w:id="26"/>
        </w:p>
      </w:tc>
    </w:tr>
  </w:tbl>
  <w:p w:rsidR="00ED54E0" w:rsidRPr="002F6A28" w:rsidRDefault="001045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C64631A">
      <w:start w:val="1"/>
      <w:numFmt w:val="decimal"/>
      <w:pStyle w:val="SummaryText"/>
      <w:lvlText w:val="%1."/>
      <w:lvlJc w:val="left"/>
      <w:pPr>
        <w:ind w:left="360" w:hanging="360"/>
      </w:pPr>
    </w:lvl>
    <w:lvl w:ilvl="1" w:tplc="601C842A" w:tentative="1">
      <w:start w:val="1"/>
      <w:numFmt w:val="lowerLetter"/>
      <w:lvlText w:val="%2."/>
      <w:lvlJc w:val="left"/>
      <w:pPr>
        <w:ind w:left="1080" w:hanging="360"/>
      </w:pPr>
    </w:lvl>
    <w:lvl w:ilvl="2" w:tplc="E548AD26" w:tentative="1">
      <w:start w:val="1"/>
      <w:numFmt w:val="lowerRoman"/>
      <w:lvlText w:val="%3."/>
      <w:lvlJc w:val="right"/>
      <w:pPr>
        <w:ind w:left="1800" w:hanging="180"/>
      </w:pPr>
    </w:lvl>
    <w:lvl w:ilvl="3" w:tplc="0180C774" w:tentative="1">
      <w:start w:val="1"/>
      <w:numFmt w:val="decimal"/>
      <w:lvlText w:val="%4."/>
      <w:lvlJc w:val="left"/>
      <w:pPr>
        <w:ind w:left="2520" w:hanging="360"/>
      </w:pPr>
    </w:lvl>
    <w:lvl w:ilvl="4" w:tplc="3F725FDA" w:tentative="1">
      <w:start w:val="1"/>
      <w:numFmt w:val="lowerLetter"/>
      <w:lvlText w:val="%5."/>
      <w:lvlJc w:val="left"/>
      <w:pPr>
        <w:ind w:left="3240" w:hanging="360"/>
      </w:pPr>
    </w:lvl>
    <w:lvl w:ilvl="5" w:tplc="CBF04248" w:tentative="1">
      <w:start w:val="1"/>
      <w:numFmt w:val="lowerRoman"/>
      <w:lvlText w:val="%6."/>
      <w:lvlJc w:val="right"/>
      <w:pPr>
        <w:ind w:left="3960" w:hanging="180"/>
      </w:pPr>
    </w:lvl>
    <w:lvl w:ilvl="6" w:tplc="33C2F8EA" w:tentative="1">
      <w:start w:val="1"/>
      <w:numFmt w:val="decimal"/>
      <w:lvlText w:val="%7."/>
      <w:lvlJc w:val="left"/>
      <w:pPr>
        <w:ind w:left="4680" w:hanging="360"/>
      </w:pPr>
    </w:lvl>
    <w:lvl w:ilvl="7" w:tplc="BDA61EE8" w:tentative="1">
      <w:start w:val="1"/>
      <w:numFmt w:val="lowerLetter"/>
      <w:lvlText w:val="%8."/>
      <w:lvlJc w:val="left"/>
      <w:pPr>
        <w:ind w:left="5400" w:hanging="360"/>
      </w:pPr>
    </w:lvl>
    <w:lvl w:ilvl="8" w:tplc="1F4E46A2" w:tentative="1">
      <w:start w:val="1"/>
      <w:numFmt w:val="lowerRoman"/>
      <w:lvlText w:val="%9."/>
      <w:lvlJc w:val="right"/>
      <w:pPr>
        <w:ind w:left="6120" w:hanging="180"/>
      </w:pPr>
    </w:lvl>
  </w:abstractNum>
  <w:abstractNum w:abstractNumId="14">
    <w:nsid w:val="63D526BB"/>
    <w:multiLevelType w:val="hybridMultilevel"/>
    <w:tmpl w:val="63D526BB"/>
    <w:lvl w:ilvl="0" w:tplc="C5281A80">
      <w:start w:val="1"/>
      <w:numFmt w:val="bullet"/>
      <w:lvlText w:val=""/>
      <w:lvlJc w:val="left"/>
      <w:pPr>
        <w:tabs>
          <w:tab w:val="num" w:pos="720"/>
        </w:tabs>
        <w:ind w:left="720" w:hanging="360"/>
      </w:pPr>
      <w:rPr>
        <w:rFonts w:ascii="Symbol" w:hAnsi="Symbol"/>
      </w:rPr>
    </w:lvl>
    <w:lvl w:ilvl="1" w:tplc="25DA6C9A">
      <w:start w:val="1"/>
      <w:numFmt w:val="bullet"/>
      <w:lvlText w:val="o"/>
      <w:lvlJc w:val="left"/>
      <w:pPr>
        <w:tabs>
          <w:tab w:val="num" w:pos="1440"/>
        </w:tabs>
        <w:ind w:left="1440" w:hanging="360"/>
      </w:pPr>
      <w:rPr>
        <w:rFonts w:ascii="Courier New" w:hAnsi="Courier New"/>
      </w:rPr>
    </w:lvl>
    <w:lvl w:ilvl="2" w:tplc="DE3C22FE">
      <w:start w:val="1"/>
      <w:numFmt w:val="bullet"/>
      <w:lvlText w:val=""/>
      <w:lvlJc w:val="left"/>
      <w:pPr>
        <w:tabs>
          <w:tab w:val="num" w:pos="2160"/>
        </w:tabs>
        <w:ind w:left="2160" w:hanging="360"/>
      </w:pPr>
      <w:rPr>
        <w:rFonts w:ascii="Wingdings" w:hAnsi="Wingdings"/>
      </w:rPr>
    </w:lvl>
    <w:lvl w:ilvl="3" w:tplc="B8089AAA">
      <w:start w:val="1"/>
      <w:numFmt w:val="bullet"/>
      <w:lvlText w:val=""/>
      <w:lvlJc w:val="left"/>
      <w:pPr>
        <w:tabs>
          <w:tab w:val="num" w:pos="2880"/>
        </w:tabs>
        <w:ind w:left="2880" w:hanging="360"/>
      </w:pPr>
      <w:rPr>
        <w:rFonts w:ascii="Symbol" w:hAnsi="Symbol"/>
      </w:rPr>
    </w:lvl>
    <w:lvl w:ilvl="4" w:tplc="04383508">
      <w:start w:val="1"/>
      <w:numFmt w:val="bullet"/>
      <w:lvlText w:val="o"/>
      <w:lvlJc w:val="left"/>
      <w:pPr>
        <w:tabs>
          <w:tab w:val="num" w:pos="3600"/>
        </w:tabs>
        <w:ind w:left="3600" w:hanging="360"/>
      </w:pPr>
      <w:rPr>
        <w:rFonts w:ascii="Courier New" w:hAnsi="Courier New"/>
      </w:rPr>
    </w:lvl>
    <w:lvl w:ilvl="5" w:tplc="BA68A514">
      <w:start w:val="1"/>
      <w:numFmt w:val="bullet"/>
      <w:lvlText w:val=""/>
      <w:lvlJc w:val="left"/>
      <w:pPr>
        <w:tabs>
          <w:tab w:val="num" w:pos="4320"/>
        </w:tabs>
        <w:ind w:left="4320" w:hanging="360"/>
      </w:pPr>
      <w:rPr>
        <w:rFonts w:ascii="Wingdings" w:hAnsi="Wingdings"/>
      </w:rPr>
    </w:lvl>
    <w:lvl w:ilvl="6" w:tplc="5EE627B8">
      <w:start w:val="1"/>
      <w:numFmt w:val="bullet"/>
      <w:lvlText w:val=""/>
      <w:lvlJc w:val="left"/>
      <w:pPr>
        <w:tabs>
          <w:tab w:val="num" w:pos="5040"/>
        </w:tabs>
        <w:ind w:left="5040" w:hanging="360"/>
      </w:pPr>
      <w:rPr>
        <w:rFonts w:ascii="Symbol" w:hAnsi="Symbol"/>
      </w:rPr>
    </w:lvl>
    <w:lvl w:ilvl="7" w:tplc="30E8B98A">
      <w:start w:val="1"/>
      <w:numFmt w:val="bullet"/>
      <w:lvlText w:val="o"/>
      <w:lvlJc w:val="left"/>
      <w:pPr>
        <w:tabs>
          <w:tab w:val="num" w:pos="5760"/>
        </w:tabs>
        <w:ind w:left="5760" w:hanging="360"/>
      </w:pPr>
      <w:rPr>
        <w:rFonts w:ascii="Courier New" w:hAnsi="Courier New"/>
      </w:rPr>
    </w:lvl>
    <w:lvl w:ilvl="8" w:tplc="6726B89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D9"/>
    <w:rsid w:val="00093439"/>
    <w:rsid w:val="001045CB"/>
    <w:rsid w:val="00395B93"/>
    <w:rsid w:val="003A61D9"/>
    <w:rsid w:val="004F2EE8"/>
    <w:rsid w:val="0063521F"/>
    <w:rsid w:val="00A55960"/>
    <w:rsid w:val="00A5757F"/>
    <w:rsid w:val="00B672C8"/>
    <w:rsid w:val="00C6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MWI/17_4371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9</cp:revision>
  <cp:lastPrinted>2017-09-29T08:05:00Z</cp:lastPrinted>
  <dcterms:created xsi:type="dcterms:W3CDTF">2017-09-28T14:27:00Z</dcterms:created>
  <dcterms:modified xsi:type="dcterms:W3CDTF">2017-09-29T08:22:00Z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G/TBT/N/MWI/7</vt:lpwstr>
  </property>
</Properties>
</file>