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97CFB" w:rsidP="002F6A28">
      <w:pPr>
        <w:pStyle w:val="Titre"/>
        <w:rPr>
          <w:caps w:val="0"/>
          <w:kern w:val="0"/>
        </w:rPr>
      </w:pPr>
      <w:r w:rsidRPr="002F6A28">
        <w:rPr>
          <w:caps w:val="0"/>
          <w:kern w:val="0"/>
        </w:rPr>
        <w:t>NOTIFICATION</w:t>
      </w:r>
    </w:p>
    <w:p w:rsidR="009239F7" w:rsidRPr="002F6A28" w:rsidRDefault="00B97CFB" w:rsidP="002F6A28">
      <w:pPr>
        <w:jc w:val="center"/>
      </w:pPr>
      <w:r w:rsidRPr="002F6A28">
        <w:t>The following notification is being circulated in accordance with Article 10.6</w:t>
      </w:r>
    </w:p>
    <w:p w:rsidR="009239F7" w:rsidRPr="002F6A28" w:rsidRDefault="00994C4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E40B1" w:rsidTr="0069259F">
        <w:tc>
          <w:tcPr>
            <w:tcW w:w="713" w:type="dxa"/>
            <w:tcBorders>
              <w:bottom w:val="single" w:sz="6" w:space="0" w:color="auto"/>
            </w:tcBorders>
            <w:shd w:val="clear" w:color="auto" w:fill="auto"/>
          </w:tcPr>
          <w:p w:rsidR="00F85C99" w:rsidRPr="002F6A28" w:rsidRDefault="00B97CF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97CFB"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B97CFB" w:rsidP="002F6A28">
            <w:pPr>
              <w:spacing w:after="120"/>
            </w:pPr>
            <w:r w:rsidRPr="002F6A28">
              <w:rPr>
                <w:b/>
              </w:rPr>
              <w:t>If applicable, name of local government involved (Article 3.2 and 7.2):</w:t>
            </w:r>
            <w:r w:rsidRPr="002F6A28">
              <w:t xml:space="preserve"> </w:t>
            </w:r>
            <w:bookmarkStart w:id="1" w:name="sps1b"/>
            <w:bookmarkEnd w:id="1"/>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97CFB" w:rsidP="00204B2A">
            <w:pPr>
              <w:spacing w:before="120" w:after="120"/>
              <w:jc w:val="left"/>
            </w:pPr>
            <w:r w:rsidRPr="002F6A28">
              <w:rPr>
                <w:b/>
              </w:rPr>
              <w:t xml:space="preserve">Agency responsible: </w:t>
            </w:r>
            <w:r>
              <w:t>European Commission</w:t>
            </w:r>
            <w:bookmarkStart w:id="2" w:name="sps2a"/>
            <w:bookmarkEnd w:id="2"/>
          </w:p>
          <w:p w:rsidR="00204B2A" w:rsidRDefault="00B97CFB"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A05026" w:rsidRDefault="00B97CFB" w:rsidP="00204B2A">
            <w:pPr>
              <w:spacing w:before="120"/>
              <w:rPr>
                <w:lang w:val="fr-FR"/>
              </w:rPr>
            </w:pPr>
            <w:proofErr w:type="spellStart"/>
            <w:r w:rsidRPr="00A05026">
              <w:rPr>
                <w:lang w:val="fr-FR"/>
              </w:rPr>
              <w:t>European</w:t>
            </w:r>
            <w:proofErr w:type="spellEnd"/>
            <w:r w:rsidRPr="00A05026">
              <w:rPr>
                <w:lang w:val="fr-FR"/>
              </w:rPr>
              <w:t xml:space="preserve"> Commission,</w:t>
            </w:r>
          </w:p>
          <w:p w:rsidR="004E40B1" w:rsidRPr="00101CCB" w:rsidRDefault="00B97CFB">
            <w:pPr>
              <w:rPr>
                <w:lang w:val="fr-CH"/>
              </w:rPr>
            </w:pPr>
            <w:r w:rsidRPr="00101CCB">
              <w:rPr>
                <w:lang w:val="fr-CH"/>
              </w:rPr>
              <w:t>EU-</w:t>
            </w:r>
            <w:proofErr w:type="spellStart"/>
            <w:r w:rsidRPr="00101CCB">
              <w:rPr>
                <w:lang w:val="fr-CH"/>
              </w:rPr>
              <w:t>TBT</w:t>
            </w:r>
            <w:proofErr w:type="spellEnd"/>
            <w:r w:rsidRPr="00101CCB">
              <w:rPr>
                <w:lang w:val="fr-CH"/>
              </w:rPr>
              <w:t xml:space="preserve"> </w:t>
            </w:r>
            <w:proofErr w:type="spellStart"/>
            <w:r w:rsidRPr="00101CCB">
              <w:rPr>
                <w:lang w:val="fr-CH"/>
              </w:rPr>
              <w:t>Enquiry</w:t>
            </w:r>
            <w:proofErr w:type="spellEnd"/>
            <w:r w:rsidRPr="00101CCB">
              <w:rPr>
                <w:lang w:val="fr-CH"/>
              </w:rPr>
              <w:t xml:space="preserve"> Point,</w:t>
            </w:r>
          </w:p>
          <w:p w:rsidR="004E40B1" w:rsidRPr="00101CCB" w:rsidRDefault="00B97CFB">
            <w:pPr>
              <w:rPr>
                <w:lang w:val="fr-CH"/>
              </w:rPr>
            </w:pPr>
            <w:r w:rsidRPr="00101CCB">
              <w:rPr>
                <w:lang w:val="fr-CH"/>
              </w:rPr>
              <w:t>Fax: +(32) 2 299 80 43,</w:t>
            </w:r>
          </w:p>
          <w:p w:rsidR="004E40B1" w:rsidRPr="00A05026" w:rsidRDefault="00B97CFB">
            <w:pPr>
              <w:rPr>
                <w:lang w:val="fr-FR"/>
              </w:rPr>
            </w:pPr>
            <w:r w:rsidRPr="00A05026">
              <w:rPr>
                <w:lang w:val="fr-FR"/>
              </w:rPr>
              <w:t xml:space="preserve">E-mail: </w:t>
            </w:r>
            <w:hyperlink r:id="rId8" w:history="1">
              <w:r w:rsidRPr="00A05026">
                <w:rPr>
                  <w:color w:val="0000FF"/>
                  <w:u w:val="single"/>
                  <w:lang w:val="fr-FR"/>
                </w:rPr>
                <w:t>grow-eu-tbt@ec.europa.eu</w:t>
              </w:r>
            </w:hyperlink>
          </w:p>
          <w:p w:rsidR="004E40B1" w:rsidRDefault="00B97CFB" w:rsidP="00204B2A">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04B2A" w:rsidP="002F6A28">
            <w:pPr>
              <w:spacing w:before="120" w:after="120"/>
              <w:rPr>
                <w:b/>
              </w:rPr>
            </w:pPr>
            <w:bookmarkStart w:id="4" w:name="tbt3a"/>
            <w:r>
              <w:rPr>
                <w:b/>
              </w:rPr>
              <w:t>Notified under Article 2.9.2 [</w:t>
            </w:r>
            <w:r w:rsidR="00B97CFB" w:rsidRPr="002F6A28">
              <w:rPr>
                <w:b/>
              </w:rPr>
              <w:t>X</w:t>
            </w:r>
            <w:bookmarkEnd w:id="4"/>
            <w:r w:rsidR="00B97CFB" w:rsidRPr="002F6A28">
              <w:rPr>
                <w:b/>
              </w:rPr>
              <w:t>], 2.10.1 [</w:t>
            </w:r>
            <w:bookmarkStart w:id="5" w:name="tbt3c"/>
            <w:r w:rsidRPr="002F6A28">
              <w:rPr>
                <w:b/>
              </w:rPr>
              <w:t> </w:t>
            </w:r>
            <w:r>
              <w:rPr>
                <w:b/>
              </w:rPr>
              <w:t>], 5.6.2 [</w:t>
            </w:r>
            <w:r w:rsidR="00B97CFB" w:rsidRPr="002F6A28">
              <w:rPr>
                <w:b/>
              </w:rPr>
              <w:t>X</w:t>
            </w:r>
            <w:bookmarkEnd w:id="5"/>
            <w:r w:rsidR="00B97CFB" w:rsidRPr="002F6A28">
              <w:rPr>
                <w:b/>
              </w:rPr>
              <w:t>], 5.7.1 [</w:t>
            </w:r>
            <w:r w:rsidRPr="002F6A28">
              <w:rPr>
                <w:b/>
              </w:rPr>
              <w:t> </w:t>
            </w:r>
            <w:r w:rsidR="00B97CFB" w:rsidRPr="002F6A28">
              <w:rPr>
                <w:b/>
              </w:rPr>
              <w:t>], other:</w:t>
            </w:r>
            <w:bookmarkStart w:id="6" w:name="tbt3e"/>
            <w:bookmarkEnd w:id="6"/>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E40B1" w:rsidRDefault="00B97CFB" w:rsidP="00F8234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Marine Equipment (including inter alia life-saving appliances, pollution prevention equipment, fire protection equipment, navigation equipment, radio communication equipment).</w:t>
            </w:r>
            <w:bookmarkStart w:id="7" w:name="sps3a"/>
            <w:bookmarkEnd w:id="7"/>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97CFB" w:rsidP="002F6A28">
            <w:pPr>
              <w:spacing w:before="120" w:after="120"/>
            </w:pPr>
            <w:r w:rsidRPr="002F6A28">
              <w:rPr>
                <w:b/>
              </w:rPr>
              <w:t xml:space="preserve">Title, number of pages and language(s) of the notified document: </w:t>
            </w:r>
            <w:r>
              <w:t>Draft Commission Implementing Regulation laying down technical criteria for electronic tags for marine equipment. (6 page(s), in English)</w:t>
            </w:r>
            <w:bookmarkStart w:id="8" w:name="sps5a"/>
            <w:bookmarkStart w:id="9" w:name="sps5b"/>
            <w:bookmarkEnd w:id="8"/>
            <w:bookmarkEnd w:id="9"/>
            <w:r w:rsidR="00204B2A" w:rsidRPr="002F6A28">
              <w:t xml:space="preserve"> </w:t>
            </w:r>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97CFB" w:rsidP="002F6A28">
            <w:pPr>
              <w:spacing w:before="120" w:after="120"/>
              <w:rPr>
                <w:b/>
              </w:rPr>
            </w:pPr>
            <w:r w:rsidRPr="002F6A28">
              <w:rPr>
                <w:b/>
              </w:rPr>
              <w:t xml:space="preserve">Description of content: </w:t>
            </w:r>
            <w:r>
              <w:rPr>
                <w:spacing w:val="-2"/>
                <w:shd w:val="clear" w:color="auto" w:fill="FFFFFF"/>
              </w:rPr>
              <w:t>The draft Regulation lays down appropriate technical criteria as regards the design, performance, affixing and use of those electronic tags, which can be applied by economic operators producing marine equipment for the EU market and for EU ships on a voluntary basis.</w:t>
            </w:r>
            <w:bookmarkStart w:id="10" w:name="sps6a"/>
            <w:bookmarkEnd w:id="10"/>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437D2F" w:rsidRDefault="00B97CFB" w:rsidP="009072A6">
            <w:pPr>
              <w:spacing w:before="120" w:after="120"/>
              <w:rPr>
                <w:b/>
              </w:rPr>
            </w:pPr>
            <w:r w:rsidRPr="002F6A28">
              <w:rPr>
                <w:b/>
              </w:rPr>
              <w:t xml:space="preserve">Objective and rationale, including the nature of urgent problems where applicable: </w:t>
            </w:r>
          </w:p>
          <w:p w:rsidR="00F85C99" w:rsidRPr="002F6A28" w:rsidRDefault="00B97CFB" w:rsidP="009072A6">
            <w:pPr>
              <w:spacing w:before="120" w:after="120"/>
              <w:rPr>
                <w:b/>
              </w:rPr>
            </w:pPr>
            <w:r>
              <w:rPr>
                <w:spacing w:val="-2"/>
              </w:rPr>
              <w:t>The purpose of Directive 2014/90/EU of the European Parl</w:t>
            </w:r>
            <w:r w:rsidR="00CC0553">
              <w:rPr>
                <w:spacing w:val="-2"/>
              </w:rPr>
              <w:t>iament and of the Council of 23 </w:t>
            </w:r>
            <w:r>
              <w:rPr>
                <w:spacing w:val="-2"/>
              </w:rPr>
              <w:t xml:space="preserve">July 2014 on marine equipment and repealing Council Directive 96/98/EC (hereafter called </w:t>
            </w:r>
            <w:r w:rsidR="00204B2A">
              <w:rPr>
                <w:spacing w:val="-2"/>
              </w:rPr>
              <w:t>'</w:t>
            </w:r>
            <w:r>
              <w:rPr>
                <w:spacing w:val="-2"/>
              </w:rPr>
              <w:t>the Marine Equipment Directive</w:t>
            </w:r>
            <w:r w:rsidR="00204B2A">
              <w:rPr>
                <w:spacing w:val="-2"/>
              </w:rPr>
              <w:t>'</w:t>
            </w:r>
            <w:r>
              <w:rPr>
                <w:spacing w:val="-2"/>
              </w:rPr>
              <w:t>) is to enhance safety at sea and the prevention of marine pollution through the uniform application of the relevant international instruments adopted under the auspices of the International Maritime Organization (IMO). These instruments lay down specific requirements concerning the construction, performance and/or testing of equipment to be placed on board of ships. The Directive also aims to ensure the free movement of compliant equipment within the EU.</w:t>
            </w:r>
          </w:p>
          <w:p w:rsidR="004E40B1" w:rsidRDefault="00B97CFB" w:rsidP="00A05026">
            <w:pPr>
              <w:spacing w:after="120"/>
            </w:pPr>
            <w:r>
              <w:rPr>
                <w:spacing w:val="-2"/>
              </w:rPr>
              <w:t xml:space="preserve">The Marine Equipment Directive provided that "The Commission shall carry out a cost/benefit analysis concerning the use of the electronic tag as a supplement to, or a replacement of, the wheel mark." </w:t>
            </w:r>
          </w:p>
          <w:p w:rsidR="004E40B1" w:rsidRDefault="00B97CFB" w:rsidP="001A0D91">
            <w:pPr>
              <w:keepNext/>
              <w:keepLines/>
              <w:spacing w:after="120"/>
            </w:pPr>
            <w:r>
              <w:rPr>
                <w:spacing w:val="-2"/>
              </w:rPr>
              <w:t xml:space="preserve">The study identified the following positive impacts which are expected to result from the </w:t>
            </w:r>
            <w:r>
              <w:rPr>
                <w:spacing w:val="-2"/>
              </w:rPr>
              <w:lastRenderedPageBreak/>
              <w:t>timely introduction of a (voluntary applicable) legal framework for electronic tagging:</w:t>
            </w:r>
          </w:p>
          <w:p w:rsidR="004E40B1" w:rsidRDefault="00B97CFB" w:rsidP="001A0D91">
            <w:pPr>
              <w:keepNext/>
              <w:keepLines/>
              <w:numPr>
                <w:ilvl w:val="0"/>
                <w:numId w:val="16"/>
              </w:numPr>
              <w:spacing w:after="120"/>
            </w:pPr>
            <w:r>
              <w:rPr>
                <w:spacing w:val="-2"/>
              </w:rPr>
              <w:t>Manufacturers should benefit from an improved prevention of counterfeiting;</w:t>
            </w:r>
          </w:p>
          <w:p w:rsidR="004E40B1" w:rsidRDefault="00B97CFB" w:rsidP="009072A6">
            <w:pPr>
              <w:numPr>
                <w:ilvl w:val="0"/>
                <w:numId w:val="16"/>
              </w:numPr>
              <w:spacing w:after="120"/>
            </w:pPr>
            <w:r>
              <w:rPr>
                <w:spacing w:val="-2"/>
              </w:rPr>
              <w:t>Ship owners/operators should be able to carry out equipment traceability and stock control more easily;</w:t>
            </w:r>
          </w:p>
          <w:p w:rsidR="004E40B1" w:rsidRDefault="00B97CFB" w:rsidP="009072A6">
            <w:pPr>
              <w:numPr>
                <w:ilvl w:val="0"/>
                <w:numId w:val="16"/>
              </w:numPr>
              <w:spacing w:after="120"/>
            </w:pPr>
            <w:r>
              <w:rPr>
                <w:spacing w:val="-2"/>
              </w:rPr>
              <w:t>Market surveillance authorities should benefit from direct and easy access to the relevant data bases, which will improve the validation checks of certificates.</w:t>
            </w:r>
          </w:p>
          <w:p w:rsidR="004E40B1" w:rsidRDefault="00B97CFB" w:rsidP="009072A6">
            <w:pPr>
              <w:spacing w:after="120"/>
              <w:rPr>
                <w:spacing w:val="-2"/>
              </w:rPr>
            </w:pPr>
            <w:r>
              <w:rPr>
                <w:spacing w:val="-2"/>
              </w:rPr>
              <w:t xml:space="preserve">The EU also would like to underline that the legislator did not make the introduction of electronic tagging mandatory, leaving the decision whether to make use of its advantages to economic operators. </w:t>
            </w:r>
            <w:bookmarkStart w:id="11" w:name="sps7f"/>
            <w:bookmarkEnd w:id="11"/>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B97CFB" w:rsidP="009072A6">
            <w:pPr>
              <w:spacing w:before="120" w:after="120"/>
            </w:pPr>
            <w:r w:rsidRPr="002F6A28">
              <w:rPr>
                <w:b/>
              </w:rPr>
              <w:t>Relevant documents:</w:t>
            </w:r>
            <w:r w:rsidRPr="002F6A28">
              <w:t xml:space="preserve"> </w:t>
            </w:r>
            <w:r>
              <w:rPr>
                <w:spacing w:val="-2"/>
              </w:rPr>
              <w:t>Directive 2014/90/EU of the European Parliament and of the Council of 23 July 2014 on marine equipment and repealing Council Directive 96/98/EC</w:t>
            </w:r>
            <w:r w:rsidR="00204B2A">
              <w:rPr>
                <w:spacing w:val="-2"/>
              </w:rPr>
              <w:t xml:space="preserve"> </w:t>
            </w:r>
            <w:r>
              <w:rPr>
                <w:spacing w:val="-2"/>
              </w:rPr>
              <w:t>(</w:t>
            </w:r>
            <w:proofErr w:type="spellStart"/>
            <w:r>
              <w:rPr>
                <w:spacing w:val="-2"/>
              </w:rPr>
              <w:t>OJ</w:t>
            </w:r>
            <w:proofErr w:type="spellEnd"/>
            <w:r>
              <w:rPr>
                <w:spacing w:val="-2"/>
              </w:rPr>
              <w:t xml:space="preserve"> L 257, 28.8.2014, p. 146–185)</w:t>
            </w:r>
          </w:p>
          <w:p w:rsidR="004E40B1" w:rsidRDefault="00994C40" w:rsidP="009072A6">
            <w:pPr>
              <w:spacing w:after="120"/>
            </w:pPr>
            <w:hyperlink r:id="rId10" w:history="1">
              <w:r w:rsidR="00B97CFB">
                <w:rPr>
                  <w:color w:val="0000FF"/>
                  <w:spacing w:val="-2"/>
                  <w:u w:val="single"/>
                </w:rPr>
                <w:t>http://eur-lex.europa.eu/LexUriServ/LexUriServ.do?uri=OJ:L:1997:046:0025:0056:EN:PDF</w:t>
              </w:r>
            </w:hyperlink>
          </w:p>
          <w:p w:rsidR="004E40B1" w:rsidRDefault="00B97CFB" w:rsidP="009072A6">
            <w:pPr>
              <w:spacing w:after="120"/>
            </w:pPr>
            <w:r>
              <w:rPr>
                <w:spacing w:val="-2"/>
              </w:rPr>
              <w:t>Study on the possible introduction of elect</w:t>
            </w:r>
            <w:r w:rsidR="009072A6">
              <w:rPr>
                <w:spacing w:val="-2"/>
              </w:rPr>
              <w:t>ronic tags for marine equipment</w:t>
            </w:r>
          </w:p>
          <w:p w:rsidR="004E40B1" w:rsidRDefault="00994C40" w:rsidP="009072A6">
            <w:pPr>
              <w:spacing w:after="120"/>
            </w:pPr>
            <w:hyperlink r:id="rId11" w:history="1">
              <w:r w:rsidR="00B97CFB">
                <w:rPr>
                  <w:color w:val="0000FF"/>
                  <w:u w:val="single"/>
                  <w:lang w:eastAsia="en-GB"/>
                </w:rPr>
                <w:t>https://ec.europa.eu/transport/sites/transport/files/2017-04-electronic-tag-marine-equipment.pdf</w:t>
              </w:r>
            </w:hyperlink>
            <w:bookmarkStart w:id="12" w:name="sps9a"/>
            <w:bookmarkEnd w:id="12"/>
            <w:r w:rsidR="00B97CFB" w:rsidRPr="002F6A28">
              <w:rPr>
                <w:bCs/>
              </w:rPr>
              <w:t xml:space="preserve"> </w:t>
            </w:r>
            <w:bookmarkStart w:id="13" w:name="sps9b"/>
            <w:bookmarkEnd w:id="13"/>
          </w:p>
        </w:tc>
      </w:tr>
      <w:tr w:rsidR="004E40B1" w:rsidTr="0069259F">
        <w:tc>
          <w:tcPr>
            <w:tcW w:w="713" w:type="dxa"/>
            <w:tcBorders>
              <w:top w:val="single" w:sz="6" w:space="0" w:color="auto"/>
              <w:bottom w:val="single" w:sz="6" w:space="0" w:color="auto"/>
            </w:tcBorders>
            <w:shd w:val="clear" w:color="auto" w:fill="auto"/>
          </w:tcPr>
          <w:p w:rsidR="00EE3A11" w:rsidRPr="002F6A28" w:rsidRDefault="00B97C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97CFB" w:rsidP="009072A6">
            <w:pPr>
              <w:spacing w:before="120" w:after="120"/>
            </w:pPr>
            <w:r w:rsidRPr="002F6A28">
              <w:rPr>
                <w:b/>
              </w:rPr>
              <w:t>Proposed date of adoption:</w:t>
            </w:r>
            <w:bookmarkStart w:id="14" w:name="sps10b"/>
            <w:r w:rsidR="00204B2A" w:rsidRPr="002F6A28">
              <w:rPr>
                <w:b/>
              </w:rPr>
              <w:t xml:space="preserve"> </w:t>
            </w:r>
            <w:r w:rsidRPr="002F6A28">
              <w:t>March/April 2018</w:t>
            </w:r>
            <w:bookmarkEnd w:id="14"/>
          </w:p>
          <w:p w:rsidR="00EE3A11" w:rsidRPr="002F6A28" w:rsidRDefault="00B97CFB" w:rsidP="009072A6">
            <w:pPr>
              <w:spacing w:after="120"/>
            </w:pPr>
            <w:r w:rsidRPr="002F6A28">
              <w:rPr>
                <w:b/>
              </w:rPr>
              <w:t>Proposed date of entry into force:</w:t>
            </w:r>
            <w:bookmarkStart w:id="15" w:name="sps11b"/>
            <w:r w:rsidR="00204B2A" w:rsidRPr="002F6A28">
              <w:rPr>
                <w:b/>
              </w:rPr>
              <w:t xml:space="preserve"> </w:t>
            </w:r>
            <w:r w:rsidRPr="002F6A28">
              <w:t xml:space="preserve">Entry into force 20 days from publication in the Official Journal of the EU (about a month after adoption approx.) </w:t>
            </w:r>
            <w:bookmarkEnd w:id="15"/>
          </w:p>
        </w:tc>
      </w:tr>
      <w:tr w:rsidR="004E40B1" w:rsidTr="0069259F">
        <w:tc>
          <w:tcPr>
            <w:tcW w:w="713" w:type="dxa"/>
            <w:tcBorders>
              <w:top w:val="single" w:sz="6" w:space="0" w:color="auto"/>
              <w:bottom w:val="single" w:sz="6" w:space="0" w:color="auto"/>
            </w:tcBorders>
            <w:shd w:val="clear" w:color="auto" w:fill="auto"/>
          </w:tcPr>
          <w:p w:rsidR="00F85C99" w:rsidRPr="002F6A28" w:rsidRDefault="00B97CF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97CFB" w:rsidP="009072A6">
            <w:pPr>
              <w:spacing w:before="120" w:after="120"/>
            </w:pPr>
            <w:r w:rsidRPr="002F6A28">
              <w:rPr>
                <w:b/>
              </w:rPr>
              <w:t xml:space="preserve">Final date for comments: </w:t>
            </w:r>
            <w:r>
              <w:t>60 days from notification</w:t>
            </w:r>
            <w:bookmarkStart w:id="16" w:name="sps12a"/>
            <w:bookmarkEnd w:id="16"/>
          </w:p>
        </w:tc>
      </w:tr>
      <w:tr w:rsidR="004E40B1" w:rsidTr="0069259F">
        <w:tc>
          <w:tcPr>
            <w:tcW w:w="713" w:type="dxa"/>
            <w:tcBorders>
              <w:top w:val="single" w:sz="6" w:space="0" w:color="auto"/>
            </w:tcBorders>
            <w:shd w:val="clear" w:color="auto" w:fill="auto"/>
          </w:tcPr>
          <w:p w:rsidR="00F85C99" w:rsidRPr="002F6A28" w:rsidRDefault="00B97C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97CFB"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9072A6" w:rsidRPr="009072A6" w:rsidRDefault="00B97CFB" w:rsidP="009072A6">
            <w:pPr>
              <w:keepNext/>
              <w:keepLines/>
              <w:spacing w:after="120"/>
              <w:jc w:val="left"/>
              <w:rPr>
                <w:lang w:val="fr-CH"/>
              </w:rPr>
            </w:pPr>
            <w:proofErr w:type="spellStart"/>
            <w:r w:rsidRPr="009072A6">
              <w:rPr>
                <w:lang w:val="fr-CH"/>
              </w:rPr>
              <w:t>European</w:t>
            </w:r>
            <w:proofErr w:type="spellEnd"/>
            <w:r w:rsidRPr="009072A6">
              <w:rPr>
                <w:lang w:val="fr-CH"/>
              </w:rPr>
              <w:t xml:space="preserve"> Commission,</w:t>
            </w:r>
            <w:r w:rsidRPr="009072A6">
              <w:rPr>
                <w:lang w:val="fr-CH"/>
              </w:rPr>
              <w:br/>
              <w:t>EU-</w:t>
            </w:r>
            <w:proofErr w:type="spellStart"/>
            <w:r w:rsidRPr="009072A6">
              <w:rPr>
                <w:lang w:val="fr-CH"/>
              </w:rPr>
              <w:t>TBT</w:t>
            </w:r>
            <w:proofErr w:type="spellEnd"/>
            <w:r w:rsidRPr="009072A6">
              <w:rPr>
                <w:lang w:val="fr-CH"/>
              </w:rPr>
              <w:t xml:space="preserve"> </w:t>
            </w:r>
            <w:proofErr w:type="spellStart"/>
            <w:r w:rsidRPr="009072A6">
              <w:rPr>
                <w:lang w:val="fr-CH"/>
              </w:rPr>
              <w:t>Enquiry</w:t>
            </w:r>
            <w:proofErr w:type="spellEnd"/>
            <w:r w:rsidRPr="009072A6">
              <w:rPr>
                <w:lang w:val="fr-CH"/>
              </w:rPr>
              <w:t xml:space="preserve"> Point,</w:t>
            </w:r>
            <w:r w:rsidRPr="009072A6">
              <w:rPr>
                <w:lang w:val="fr-CH"/>
              </w:rPr>
              <w:br/>
              <w:t>Fax: + (32) 2 299 80 43,</w:t>
            </w:r>
            <w:r w:rsidRPr="009072A6">
              <w:rPr>
                <w:lang w:val="fr-CH"/>
              </w:rPr>
              <w:br/>
              <w:t xml:space="preserve">E-mail: </w:t>
            </w:r>
            <w:hyperlink r:id="rId12" w:history="1">
              <w:r w:rsidRPr="009072A6">
                <w:rPr>
                  <w:color w:val="0000FF"/>
                  <w:u w:val="single"/>
                  <w:lang w:val="fr-CH"/>
                </w:rPr>
                <w:t>grow-eu-tbt@ec.europa.eu</w:t>
              </w:r>
            </w:hyperlink>
          </w:p>
          <w:p w:rsidR="00A05026" w:rsidRDefault="00B97CFB" w:rsidP="009072A6">
            <w:pPr>
              <w:keepNext/>
              <w:keepLines/>
              <w:spacing w:after="120"/>
              <w:jc w:val="left"/>
            </w:pPr>
            <w:r>
              <w:t xml:space="preserve">The text is available on the EU-TBT Website: </w:t>
            </w:r>
          </w:p>
          <w:p w:rsidR="009072A6" w:rsidRDefault="00994C40" w:rsidP="009072A6">
            <w:pPr>
              <w:keepNext/>
              <w:keepLines/>
              <w:spacing w:after="120"/>
              <w:jc w:val="left"/>
            </w:pPr>
            <w:hyperlink r:id="rId13" w:tgtFrame="_blank" w:history="1">
              <w:r w:rsidR="00B97CFB">
                <w:rPr>
                  <w:color w:val="0000FF"/>
                  <w:u w:val="single"/>
                </w:rPr>
                <w:t>http://ec.europa.eu/growth/tools-databases/tbt/en/</w:t>
              </w:r>
            </w:hyperlink>
          </w:p>
          <w:p w:rsidR="00F85C99" w:rsidRPr="002F6A28" w:rsidRDefault="00994C40" w:rsidP="009072A6">
            <w:pPr>
              <w:keepNext/>
              <w:keepLines/>
              <w:spacing w:after="120"/>
              <w:jc w:val="left"/>
            </w:pPr>
            <w:hyperlink r:id="rId14" w:tgtFrame="_blank" w:history="1">
              <w:r w:rsidR="00B97CFB">
                <w:rPr>
                  <w:color w:val="0000FF"/>
                  <w:u w:val="single"/>
                </w:rPr>
                <w:t>https://members.wto.org/crnattachments/2017/TBT/EEC/17_5081_00_e.pdf</w:t>
              </w:r>
            </w:hyperlink>
            <w:bookmarkStart w:id="18" w:name="sps13c"/>
            <w:bookmarkEnd w:id="18"/>
          </w:p>
        </w:tc>
      </w:tr>
    </w:tbl>
    <w:p w:rsidR="00EE3A11" w:rsidRPr="002F6A28" w:rsidRDefault="00994C40" w:rsidP="002F6A28"/>
    <w:sectPr w:rsidR="00EE3A11" w:rsidRPr="002F6A28" w:rsidSect="00101CCB">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7A" w:rsidRDefault="00B97CFB">
      <w:r>
        <w:separator/>
      </w:r>
    </w:p>
  </w:endnote>
  <w:endnote w:type="continuationSeparator" w:id="0">
    <w:p w:rsidR="009A7A7A" w:rsidRDefault="00B9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1CCB" w:rsidRDefault="00101CCB" w:rsidP="00101CC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01CCB" w:rsidRDefault="00101CCB" w:rsidP="00101CC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97CFB">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7A" w:rsidRDefault="00B97CFB">
      <w:r>
        <w:separator/>
      </w:r>
    </w:p>
  </w:footnote>
  <w:footnote w:type="continuationSeparator" w:id="0">
    <w:p w:rsidR="009A7A7A" w:rsidRDefault="00B9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CB" w:rsidRPr="00101CCB" w:rsidRDefault="00101CCB" w:rsidP="00101CCB">
    <w:pPr>
      <w:pStyle w:val="En-tte"/>
      <w:pBdr>
        <w:bottom w:val="single" w:sz="4" w:space="1" w:color="auto"/>
      </w:pBdr>
      <w:tabs>
        <w:tab w:val="clear" w:pos="4513"/>
        <w:tab w:val="clear" w:pos="9027"/>
      </w:tabs>
      <w:jc w:val="center"/>
    </w:pPr>
    <w:r w:rsidRPr="00101CCB">
      <w:t>G/TBT/N/EU/524</w:t>
    </w:r>
  </w:p>
  <w:p w:rsidR="00101CCB" w:rsidRPr="00101CCB" w:rsidRDefault="00101CCB" w:rsidP="00101CCB">
    <w:pPr>
      <w:pStyle w:val="En-tte"/>
      <w:pBdr>
        <w:bottom w:val="single" w:sz="4" w:space="1" w:color="auto"/>
      </w:pBdr>
      <w:tabs>
        <w:tab w:val="clear" w:pos="4513"/>
        <w:tab w:val="clear" w:pos="9027"/>
      </w:tabs>
      <w:jc w:val="center"/>
    </w:pPr>
  </w:p>
  <w:p w:rsidR="00101CCB" w:rsidRPr="00101CCB" w:rsidRDefault="00101CCB" w:rsidP="00101CCB">
    <w:pPr>
      <w:pStyle w:val="En-tte"/>
      <w:pBdr>
        <w:bottom w:val="single" w:sz="4" w:space="1" w:color="auto"/>
      </w:pBdr>
      <w:tabs>
        <w:tab w:val="clear" w:pos="4513"/>
        <w:tab w:val="clear" w:pos="9027"/>
      </w:tabs>
      <w:jc w:val="center"/>
    </w:pPr>
    <w:r w:rsidRPr="00101CCB">
      <w:t xml:space="preserve">- </w:t>
    </w:r>
    <w:r w:rsidRPr="00101CCB">
      <w:fldChar w:fldCharType="begin"/>
    </w:r>
    <w:r w:rsidRPr="00101CCB">
      <w:instrText xml:space="preserve"> PAGE </w:instrText>
    </w:r>
    <w:r w:rsidRPr="00101CCB">
      <w:fldChar w:fldCharType="separate"/>
    </w:r>
    <w:r w:rsidR="00994C40">
      <w:rPr>
        <w:noProof/>
      </w:rPr>
      <w:t>2</w:t>
    </w:r>
    <w:r w:rsidRPr="00101CCB">
      <w:fldChar w:fldCharType="end"/>
    </w:r>
    <w:r w:rsidRPr="00101CCB">
      <w:t xml:space="preserve"> -</w:t>
    </w:r>
  </w:p>
  <w:p w:rsidR="009239F7" w:rsidRPr="00101CCB" w:rsidRDefault="00994C40" w:rsidP="00101CC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CB" w:rsidRPr="00101CCB" w:rsidRDefault="00101CCB" w:rsidP="00101CCB">
    <w:pPr>
      <w:pStyle w:val="En-tte"/>
      <w:pBdr>
        <w:bottom w:val="single" w:sz="4" w:space="1" w:color="auto"/>
      </w:pBdr>
      <w:tabs>
        <w:tab w:val="clear" w:pos="4513"/>
        <w:tab w:val="clear" w:pos="9027"/>
      </w:tabs>
      <w:jc w:val="center"/>
    </w:pPr>
    <w:r w:rsidRPr="00101CCB">
      <w:t>G/TBT/N/EU/524</w:t>
    </w:r>
  </w:p>
  <w:p w:rsidR="00101CCB" w:rsidRPr="00101CCB" w:rsidRDefault="00101CCB" w:rsidP="00101CCB">
    <w:pPr>
      <w:pStyle w:val="En-tte"/>
      <w:pBdr>
        <w:bottom w:val="single" w:sz="4" w:space="1" w:color="auto"/>
      </w:pBdr>
      <w:tabs>
        <w:tab w:val="clear" w:pos="4513"/>
        <w:tab w:val="clear" w:pos="9027"/>
      </w:tabs>
      <w:jc w:val="center"/>
    </w:pPr>
  </w:p>
  <w:p w:rsidR="00101CCB" w:rsidRPr="00101CCB" w:rsidRDefault="00101CCB" w:rsidP="00101CCB">
    <w:pPr>
      <w:pStyle w:val="En-tte"/>
      <w:pBdr>
        <w:bottom w:val="single" w:sz="4" w:space="1" w:color="auto"/>
      </w:pBdr>
      <w:tabs>
        <w:tab w:val="clear" w:pos="4513"/>
        <w:tab w:val="clear" w:pos="9027"/>
      </w:tabs>
      <w:jc w:val="center"/>
    </w:pPr>
    <w:r w:rsidRPr="00101CCB">
      <w:t xml:space="preserve">- </w:t>
    </w:r>
    <w:r w:rsidRPr="00101CCB">
      <w:fldChar w:fldCharType="begin"/>
    </w:r>
    <w:r w:rsidRPr="00101CCB">
      <w:instrText xml:space="preserve"> PAGE </w:instrText>
    </w:r>
    <w:r w:rsidRPr="00101CCB">
      <w:fldChar w:fldCharType="separate"/>
    </w:r>
    <w:r w:rsidRPr="00101CCB">
      <w:rPr>
        <w:noProof/>
      </w:rPr>
      <w:t>2</w:t>
    </w:r>
    <w:r w:rsidRPr="00101CCB">
      <w:fldChar w:fldCharType="end"/>
    </w:r>
    <w:r w:rsidRPr="00101CCB">
      <w:t xml:space="preserve"> -</w:t>
    </w:r>
  </w:p>
  <w:p w:rsidR="009239F7" w:rsidRPr="00101CCB" w:rsidRDefault="00994C40" w:rsidP="00101CC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40B1" w:rsidTr="008612A9">
      <w:trPr>
        <w:trHeight w:val="240"/>
        <w:jc w:val="center"/>
      </w:trPr>
      <w:tc>
        <w:tcPr>
          <w:tcW w:w="3794" w:type="dxa"/>
          <w:shd w:val="clear" w:color="auto" w:fill="FFFFFF"/>
          <w:tcMar>
            <w:left w:w="108" w:type="dxa"/>
            <w:right w:w="108" w:type="dxa"/>
          </w:tcMar>
          <w:vAlign w:val="center"/>
        </w:tcPr>
        <w:p w:rsidR="00ED54E0" w:rsidRPr="009239F7" w:rsidRDefault="00994C4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101CCB" w:rsidP="00B801E9">
          <w:pPr>
            <w:jc w:val="right"/>
            <w:rPr>
              <w:b/>
              <w:color w:val="FF0000"/>
              <w:szCs w:val="16"/>
            </w:rPr>
          </w:pPr>
          <w:r>
            <w:rPr>
              <w:b/>
              <w:color w:val="FF0000"/>
              <w:szCs w:val="16"/>
            </w:rPr>
            <w:t xml:space="preserve"> </w:t>
          </w:r>
        </w:p>
      </w:tc>
    </w:tr>
    <w:bookmarkEnd w:id="19"/>
    <w:tr w:rsidR="004E40B1" w:rsidTr="008612A9">
      <w:trPr>
        <w:trHeight w:val="213"/>
        <w:jc w:val="center"/>
      </w:trPr>
      <w:tc>
        <w:tcPr>
          <w:tcW w:w="3794" w:type="dxa"/>
          <w:vMerge w:val="restart"/>
          <w:shd w:val="clear" w:color="auto" w:fill="FFFFFF"/>
          <w:tcMar>
            <w:left w:w="0" w:type="dxa"/>
            <w:right w:w="0" w:type="dxa"/>
          </w:tcMar>
        </w:tcPr>
        <w:p w:rsidR="00ED54E0" w:rsidRPr="009239F7" w:rsidRDefault="006262DC" w:rsidP="00B801E9">
          <w:pPr>
            <w:jc w:val="left"/>
          </w:pPr>
          <w:r>
            <w:rPr>
              <w:noProof/>
              <w:lang w:val="fr-FR" w:eastAsia="fr-FR"/>
            </w:rPr>
            <w:drawing>
              <wp:inline distT="0" distB="0" distL="0" distR="0" wp14:anchorId="7A78F060" wp14:editId="0CAA92C8">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94C40" w:rsidP="00B801E9">
          <w:pPr>
            <w:jc w:val="right"/>
            <w:rPr>
              <w:b/>
              <w:szCs w:val="16"/>
            </w:rPr>
          </w:pPr>
        </w:p>
      </w:tc>
    </w:tr>
    <w:tr w:rsidR="004E40B1" w:rsidTr="008612A9">
      <w:trPr>
        <w:trHeight w:val="868"/>
        <w:jc w:val="center"/>
      </w:trPr>
      <w:tc>
        <w:tcPr>
          <w:tcW w:w="3794" w:type="dxa"/>
          <w:vMerge/>
          <w:shd w:val="clear" w:color="auto" w:fill="FFFFFF"/>
          <w:tcMar>
            <w:left w:w="108" w:type="dxa"/>
            <w:right w:w="108" w:type="dxa"/>
          </w:tcMar>
        </w:tcPr>
        <w:p w:rsidR="00ED54E0" w:rsidRPr="009239F7" w:rsidRDefault="00994C40" w:rsidP="00B801E9">
          <w:pPr>
            <w:jc w:val="left"/>
            <w:rPr>
              <w:noProof/>
              <w:lang w:eastAsia="en-GB"/>
            </w:rPr>
          </w:pPr>
        </w:p>
      </w:tc>
      <w:tc>
        <w:tcPr>
          <w:tcW w:w="5448" w:type="dxa"/>
          <w:gridSpan w:val="2"/>
          <w:shd w:val="clear" w:color="auto" w:fill="FFFFFF"/>
          <w:tcMar>
            <w:left w:w="108" w:type="dxa"/>
            <w:right w:w="108" w:type="dxa"/>
          </w:tcMar>
        </w:tcPr>
        <w:p w:rsidR="00101CCB" w:rsidRDefault="00101CCB" w:rsidP="00B801E9">
          <w:pPr>
            <w:jc w:val="right"/>
            <w:rPr>
              <w:b/>
              <w:szCs w:val="16"/>
            </w:rPr>
          </w:pPr>
          <w:bookmarkStart w:id="20" w:name="bmkSymbols"/>
          <w:r>
            <w:rPr>
              <w:b/>
              <w:szCs w:val="16"/>
            </w:rPr>
            <w:t>G/TBT/N/EU/524</w:t>
          </w:r>
        </w:p>
        <w:bookmarkEnd w:id="20"/>
        <w:p w:rsidR="00ED54E0" w:rsidRPr="009239F7" w:rsidRDefault="00994C40" w:rsidP="00B801E9">
          <w:pPr>
            <w:jc w:val="right"/>
            <w:rPr>
              <w:b/>
              <w:szCs w:val="16"/>
            </w:rPr>
          </w:pPr>
        </w:p>
      </w:tc>
    </w:tr>
    <w:tr w:rsidR="004E40B1" w:rsidTr="008612A9">
      <w:trPr>
        <w:trHeight w:val="240"/>
        <w:jc w:val="center"/>
      </w:trPr>
      <w:tc>
        <w:tcPr>
          <w:tcW w:w="3794" w:type="dxa"/>
          <w:vMerge/>
          <w:shd w:val="clear" w:color="auto" w:fill="FFFFFF"/>
          <w:tcMar>
            <w:left w:w="108" w:type="dxa"/>
            <w:right w:w="108" w:type="dxa"/>
          </w:tcMar>
          <w:vAlign w:val="center"/>
        </w:tcPr>
        <w:p w:rsidR="00ED54E0" w:rsidRPr="009239F7" w:rsidRDefault="00994C40" w:rsidP="00B801E9"/>
      </w:tc>
      <w:tc>
        <w:tcPr>
          <w:tcW w:w="5448" w:type="dxa"/>
          <w:gridSpan w:val="2"/>
          <w:shd w:val="clear" w:color="auto" w:fill="FFFFFF"/>
          <w:tcMar>
            <w:left w:w="108" w:type="dxa"/>
            <w:right w:w="108" w:type="dxa"/>
          </w:tcMar>
          <w:vAlign w:val="center"/>
        </w:tcPr>
        <w:p w:rsidR="00ED54E0" w:rsidRPr="009239F7" w:rsidRDefault="00994C40" w:rsidP="00B801E9">
          <w:pPr>
            <w:jc w:val="right"/>
            <w:rPr>
              <w:szCs w:val="16"/>
            </w:rPr>
          </w:pPr>
          <w:bookmarkStart w:id="21" w:name="spsDateDistribution"/>
          <w:bookmarkStart w:id="22" w:name="bmkDate"/>
          <w:bookmarkEnd w:id="21"/>
          <w:bookmarkEnd w:id="22"/>
          <w:r>
            <w:rPr>
              <w:szCs w:val="16"/>
            </w:rPr>
            <w:t xml:space="preserve">14 November </w:t>
          </w:r>
          <w:r>
            <w:rPr>
              <w:szCs w:val="16"/>
            </w:rPr>
            <w:t>2017</w:t>
          </w:r>
          <w:bookmarkStart w:id="23" w:name="_GoBack"/>
          <w:bookmarkEnd w:id="23"/>
        </w:p>
      </w:tc>
    </w:tr>
    <w:tr w:rsidR="004E40B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97CFB" w:rsidP="0097650D">
          <w:pPr>
            <w:jc w:val="left"/>
            <w:rPr>
              <w:b/>
            </w:rPr>
          </w:pPr>
          <w:bookmarkStart w:id="24" w:name="bmkSerial"/>
          <w:r w:rsidRPr="002F6A28">
            <w:rPr>
              <w:color w:val="FF0000"/>
              <w:szCs w:val="16"/>
            </w:rPr>
            <w:t>(</w:t>
          </w:r>
          <w:bookmarkStart w:id="25" w:name="spsSerialNumber"/>
          <w:bookmarkEnd w:id="25"/>
          <w:r w:rsidR="00994C40">
            <w:rPr>
              <w:color w:val="FF0000"/>
              <w:szCs w:val="16"/>
            </w:rPr>
            <w:t>17-6179</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B97CFB"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94C4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94C40">
            <w:rPr>
              <w:bCs/>
              <w:noProof/>
              <w:szCs w:val="16"/>
            </w:rPr>
            <w:t>2</w:t>
          </w:r>
          <w:r w:rsidRPr="002F6A28">
            <w:rPr>
              <w:bCs/>
              <w:szCs w:val="16"/>
            </w:rPr>
            <w:fldChar w:fldCharType="end"/>
          </w:r>
          <w:bookmarkEnd w:id="26"/>
        </w:p>
      </w:tc>
    </w:tr>
    <w:tr w:rsidR="004E40B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01CCB"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101CCB" w:rsidP="00B801E9">
          <w:pPr>
            <w:jc w:val="right"/>
            <w:rPr>
              <w:bCs/>
              <w:szCs w:val="18"/>
            </w:rPr>
          </w:pPr>
          <w:bookmarkStart w:id="28" w:name="bmkLanguage"/>
          <w:r>
            <w:rPr>
              <w:bCs/>
              <w:szCs w:val="18"/>
            </w:rPr>
            <w:t>Original: English</w:t>
          </w:r>
          <w:bookmarkEnd w:id="28"/>
        </w:p>
      </w:tc>
    </w:tr>
  </w:tbl>
  <w:p w:rsidR="00ED54E0" w:rsidRPr="002F6A28" w:rsidRDefault="00994C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D6E8EA8">
      <w:start w:val="1"/>
      <w:numFmt w:val="decimal"/>
      <w:pStyle w:val="SummaryText"/>
      <w:lvlText w:val="%1."/>
      <w:lvlJc w:val="left"/>
      <w:pPr>
        <w:ind w:left="360" w:hanging="360"/>
      </w:pPr>
    </w:lvl>
    <w:lvl w:ilvl="1" w:tplc="3A402254" w:tentative="1">
      <w:start w:val="1"/>
      <w:numFmt w:val="lowerLetter"/>
      <w:lvlText w:val="%2."/>
      <w:lvlJc w:val="left"/>
      <w:pPr>
        <w:ind w:left="1080" w:hanging="360"/>
      </w:pPr>
    </w:lvl>
    <w:lvl w:ilvl="2" w:tplc="6E5C28A0" w:tentative="1">
      <w:start w:val="1"/>
      <w:numFmt w:val="lowerRoman"/>
      <w:lvlText w:val="%3."/>
      <w:lvlJc w:val="right"/>
      <w:pPr>
        <w:ind w:left="1800" w:hanging="180"/>
      </w:pPr>
    </w:lvl>
    <w:lvl w:ilvl="3" w:tplc="D6C6181C" w:tentative="1">
      <w:start w:val="1"/>
      <w:numFmt w:val="decimal"/>
      <w:lvlText w:val="%4."/>
      <w:lvlJc w:val="left"/>
      <w:pPr>
        <w:ind w:left="2520" w:hanging="360"/>
      </w:pPr>
    </w:lvl>
    <w:lvl w:ilvl="4" w:tplc="5B566A68" w:tentative="1">
      <w:start w:val="1"/>
      <w:numFmt w:val="lowerLetter"/>
      <w:lvlText w:val="%5."/>
      <w:lvlJc w:val="left"/>
      <w:pPr>
        <w:ind w:left="3240" w:hanging="360"/>
      </w:pPr>
    </w:lvl>
    <w:lvl w:ilvl="5" w:tplc="8F400D24" w:tentative="1">
      <w:start w:val="1"/>
      <w:numFmt w:val="lowerRoman"/>
      <w:lvlText w:val="%6."/>
      <w:lvlJc w:val="right"/>
      <w:pPr>
        <w:ind w:left="3960" w:hanging="180"/>
      </w:pPr>
    </w:lvl>
    <w:lvl w:ilvl="6" w:tplc="793423CA" w:tentative="1">
      <w:start w:val="1"/>
      <w:numFmt w:val="decimal"/>
      <w:lvlText w:val="%7."/>
      <w:lvlJc w:val="left"/>
      <w:pPr>
        <w:ind w:left="4680" w:hanging="360"/>
      </w:pPr>
    </w:lvl>
    <w:lvl w:ilvl="7" w:tplc="72FC9D5C" w:tentative="1">
      <w:start w:val="1"/>
      <w:numFmt w:val="lowerLetter"/>
      <w:lvlText w:val="%8."/>
      <w:lvlJc w:val="left"/>
      <w:pPr>
        <w:ind w:left="5400" w:hanging="360"/>
      </w:pPr>
    </w:lvl>
    <w:lvl w:ilvl="8" w:tplc="550650DC" w:tentative="1">
      <w:start w:val="1"/>
      <w:numFmt w:val="lowerRoman"/>
      <w:lvlText w:val="%9."/>
      <w:lvlJc w:val="right"/>
      <w:pPr>
        <w:ind w:left="6120" w:hanging="180"/>
      </w:pPr>
    </w:lvl>
  </w:abstractNum>
  <w:abstractNum w:abstractNumId="14">
    <w:nsid w:val="63D526BB"/>
    <w:multiLevelType w:val="hybridMultilevel"/>
    <w:tmpl w:val="63D526BB"/>
    <w:lvl w:ilvl="0" w:tplc="6DCC9BA4">
      <w:start w:val="1"/>
      <w:numFmt w:val="bullet"/>
      <w:lvlText w:val=""/>
      <w:lvlJc w:val="left"/>
      <w:pPr>
        <w:tabs>
          <w:tab w:val="num" w:pos="720"/>
        </w:tabs>
        <w:ind w:left="720" w:hanging="360"/>
      </w:pPr>
      <w:rPr>
        <w:rFonts w:ascii="Symbol" w:hAnsi="Symbol"/>
      </w:rPr>
    </w:lvl>
    <w:lvl w:ilvl="1" w:tplc="71BA83C4">
      <w:start w:val="1"/>
      <w:numFmt w:val="bullet"/>
      <w:lvlText w:val="o"/>
      <w:lvlJc w:val="left"/>
      <w:pPr>
        <w:tabs>
          <w:tab w:val="num" w:pos="1440"/>
        </w:tabs>
        <w:ind w:left="1440" w:hanging="360"/>
      </w:pPr>
      <w:rPr>
        <w:rFonts w:ascii="Courier New" w:hAnsi="Courier New"/>
      </w:rPr>
    </w:lvl>
    <w:lvl w:ilvl="2" w:tplc="7BA041B4">
      <w:start w:val="1"/>
      <w:numFmt w:val="bullet"/>
      <w:lvlText w:val=""/>
      <w:lvlJc w:val="left"/>
      <w:pPr>
        <w:tabs>
          <w:tab w:val="num" w:pos="2160"/>
        </w:tabs>
        <w:ind w:left="2160" w:hanging="360"/>
      </w:pPr>
      <w:rPr>
        <w:rFonts w:ascii="Wingdings" w:hAnsi="Wingdings"/>
      </w:rPr>
    </w:lvl>
    <w:lvl w:ilvl="3" w:tplc="FBD48A2A">
      <w:start w:val="1"/>
      <w:numFmt w:val="bullet"/>
      <w:lvlText w:val=""/>
      <w:lvlJc w:val="left"/>
      <w:pPr>
        <w:tabs>
          <w:tab w:val="num" w:pos="2880"/>
        </w:tabs>
        <w:ind w:left="2880" w:hanging="360"/>
      </w:pPr>
      <w:rPr>
        <w:rFonts w:ascii="Symbol" w:hAnsi="Symbol"/>
      </w:rPr>
    </w:lvl>
    <w:lvl w:ilvl="4" w:tplc="D4F44FE6">
      <w:start w:val="1"/>
      <w:numFmt w:val="bullet"/>
      <w:lvlText w:val="o"/>
      <w:lvlJc w:val="left"/>
      <w:pPr>
        <w:tabs>
          <w:tab w:val="num" w:pos="3600"/>
        </w:tabs>
        <w:ind w:left="3600" w:hanging="360"/>
      </w:pPr>
      <w:rPr>
        <w:rFonts w:ascii="Courier New" w:hAnsi="Courier New"/>
      </w:rPr>
    </w:lvl>
    <w:lvl w:ilvl="5" w:tplc="9A203378">
      <w:start w:val="1"/>
      <w:numFmt w:val="bullet"/>
      <w:lvlText w:val=""/>
      <w:lvlJc w:val="left"/>
      <w:pPr>
        <w:tabs>
          <w:tab w:val="num" w:pos="4320"/>
        </w:tabs>
        <w:ind w:left="4320" w:hanging="360"/>
      </w:pPr>
      <w:rPr>
        <w:rFonts w:ascii="Wingdings" w:hAnsi="Wingdings"/>
      </w:rPr>
    </w:lvl>
    <w:lvl w:ilvl="6" w:tplc="CC705FAC">
      <w:start w:val="1"/>
      <w:numFmt w:val="bullet"/>
      <w:lvlText w:val=""/>
      <w:lvlJc w:val="left"/>
      <w:pPr>
        <w:tabs>
          <w:tab w:val="num" w:pos="5040"/>
        </w:tabs>
        <w:ind w:left="5040" w:hanging="360"/>
      </w:pPr>
      <w:rPr>
        <w:rFonts w:ascii="Symbol" w:hAnsi="Symbol"/>
      </w:rPr>
    </w:lvl>
    <w:lvl w:ilvl="7" w:tplc="B70E2196">
      <w:start w:val="1"/>
      <w:numFmt w:val="bullet"/>
      <w:lvlText w:val="o"/>
      <w:lvlJc w:val="left"/>
      <w:pPr>
        <w:tabs>
          <w:tab w:val="num" w:pos="5760"/>
        </w:tabs>
        <w:ind w:left="5760" w:hanging="360"/>
      </w:pPr>
      <w:rPr>
        <w:rFonts w:ascii="Courier New" w:hAnsi="Courier New"/>
      </w:rPr>
    </w:lvl>
    <w:lvl w:ilvl="8" w:tplc="00727E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1"/>
    <w:rsid w:val="00101CCB"/>
    <w:rsid w:val="001A0D91"/>
    <w:rsid w:val="001C4C0F"/>
    <w:rsid w:val="00204B2A"/>
    <w:rsid w:val="0037360A"/>
    <w:rsid w:val="00437D2F"/>
    <w:rsid w:val="004E40B1"/>
    <w:rsid w:val="00571969"/>
    <w:rsid w:val="006262DC"/>
    <w:rsid w:val="009072A6"/>
    <w:rsid w:val="00994C40"/>
    <w:rsid w:val="009A7A7A"/>
    <w:rsid w:val="00A05026"/>
    <w:rsid w:val="00B97CFB"/>
    <w:rsid w:val="00CC0553"/>
    <w:rsid w:val="00ED402F"/>
    <w:rsid w:val="00F8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transport/sites/transport/files/2017-04-electronic-tag-marine-equip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OJ:L:1997:046:0025:0056:E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7/TBT/EEC/17_5081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756</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14</cp:revision>
  <cp:lastPrinted>2017-11-14T13:14:00Z</cp:lastPrinted>
  <dcterms:created xsi:type="dcterms:W3CDTF">2017-11-14T09:39:00Z</dcterms:created>
  <dcterms:modified xsi:type="dcterms:W3CDTF">2017-11-14T13:19:00Z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G/TBT/N/EU/524</vt:lpwstr>
  </property>
</Properties>
</file>