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E0F8B" w:rsidP="001A262B">
      <w:pPr>
        <w:pStyle w:val="Titre"/>
        <w:spacing w:before="240"/>
        <w:rPr>
          <w:caps w:val="0"/>
          <w:kern w:val="0"/>
        </w:rPr>
      </w:pPr>
      <w:r w:rsidRPr="002F6A28">
        <w:rPr>
          <w:caps w:val="0"/>
          <w:kern w:val="0"/>
        </w:rPr>
        <w:t>NOTIFICATION</w:t>
      </w:r>
    </w:p>
    <w:p w:rsidR="009239F7" w:rsidRPr="002F6A28" w:rsidRDefault="002E0F8B" w:rsidP="002F6A28">
      <w:pPr>
        <w:jc w:val="center"/>
      </w:pPr>
      <w:r w:rsidRPr="002F6A28">
        <w:t>The following notification is being circulated in accordance with Article 10.6</w:t>
      </w:r>
    </w:p>
    <w:p w:rsidR="009239F7" w:rsidRPr="002F6A28" w:rsidRDefault="00184DE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77526" w:rsidTr="0069259F">
        <w:tc>
          <w:tcPr>
            <w:tcW w:w="713" w:type="dxa"/>
            <w:tcBorders>
              <w:bottom w:val="single" w:sz="6" w:space="0" w:color="auto"/>
            </w:tcBorders>
            <w:shd w:val="clear" w:color="auto" w:fill="auto"/>
          </w:tcPr>
          <w:p w:rsidR="00F85C99" w:rsidRPr="002F6A28" w:rsidRDefault="002E0F8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E0F8B"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2E0F8B" w:rsidP="002F6A28">
            <w:pPr>
              <w:spacing w:after="120"/>
            </w:pPr>
            <w:r w:rsidRPr="002F6A28">
              <w:rPr>
                <w:b/>
              </w:rPr>
              <w:t>If applicable, name of local government involved (Article 3.2 and 7.2):</w:t>
            </w:r>
            <w:r w:rsidRPr="002F6A28">
              <w:t xml:space="preserve"> </w:t>
            </w:r>
            <w:bookmarkStart w:id="1" w:name="sps1b"/>
            <w:bookmarkEnd w:id="1"/>
          </w:p>
        </w:tc>
      </w:tr>
      <w:tr w:rsidR="00A77526" w:rsidTr="0069259F">
        <w:tc>
          <w:tcPr>
            <w:tcW w:w="713" w:type="dxa"/>
            <w:tcBorders>
              <w:top w:val="single" w:sz="6" w:space="0" w:color="auto"/>
              <w:bottom w:val="single" w:sz="6" w:space="0" w:color="auto"/>
            </w:tcBorders>
            <w:shd w:val="clear" w:color="auto" w:fill="auto"/>
          </w:tcPr>
          <w:p w:rsidR="00F85C99" w:rsidRPr="002F6A28" w:rsidRDefault="002E0F8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E0F8B" w:rsidP="002E0F8B">
            <w:pPr>
              <w:spacing w:before="120" w:after="120"/>
              <w:jc w:val="left"/>
            </w:pPr>
            <w:r w:rsidRPr="002F6A28">
              <w:rPr>
                <w:b/>
              </w:rPr>
              <w:t xml:space="preserve">Agency responsible: </w:t>
            </w:r>
            <w:r>
              <w:t>European Commission</w:t>
            </w:r>
            <w:bookmarkStart w:id="2" w:name="sps2a"/>
            <w:bookmarkEnd w:id="2"/>
          </w:p>
          <w:p w:rsidR="002E0F8B" w:rsidRDefault="002E0F8B" w:rsidP="002E0F8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1A262B" w:rsidRDefault="002E0F8B" w:rsidP="002F6A28">
            <w:pPr>
              <w:rPr>
                <w:lang w:val="fr-FR"/>
              </w:rPr>
            </w:pPr>
            <w:proofErr w:type="spellStart"/>
            <w:r w:rsidRPr="001A262B">
              <w:rPr>
                <w:lang w:val="fr-FR"/>
              </w:rPr>
              <w:t>European</w:t>
            </w:r>
            <w:proofErr w:type="spellEnd"/>
            <w:r w:rsidRPr="001A262B">
              <w:rPr>
                <w:lang w:val="fr-FR"/>
              </w:rPr>
              <w:t xml:space="preserve"> Commission,</w:t>
            </w:r>
          </w:p>
          <w:p w:rsidR="00A77526" w:rsidRPr="002E0F8B" w:rsidRDefault="002E0F8B">
            <w:pPr>
              <w:rPr>
                <w:lang w:val="fr-CH"/>
              </w:rPr>
            </w:pPr>
            <w:r w:rsidRPr="002E0F8B">
              <w:rPr>
                <w:lang w:val="fr-CH"/>
              </w:rPr>
              <w:t>EU-</w:t>
            </w:r>
            <w:proofErr w:type="spellStart"/>
            <w:r w:rsidRPr="002E0F8B">
              <w:rPr>
                <w:lang w:val="fr-CH"/>
              </w:rPr>
              <w:t>TBT</w:t>
            </w:r>
            <w:proofErr w:type="spellEnd"/>
            <w:r w:rsidRPr="002E0F8B">
              <w:rPr>
                <w:lang w:val="fr-CH"/>
              </w:rPr>
              <w:t xml:space="preserve"> </w:t>
            </w:r>
            <w:proofErr w:type="spellStart"/>
            <w:r w:rsidRPr="002E0F8B">
              <w:rPr>
                <w:lang w:val="fr-CH"/>
              </w:rPr>
              <w:t>Enquiry</w:t>
            </w:r>
            <w:proofErr w:type="spellEnd"/>
            <w:r w:rsidRPr="002E0F8B">
              <w:rPr>
                <w:lang w:val="fr-CH"/>
              </w:rPr>
              <w:t xml:space="preserve"> Point,</w:t>
            </w:r>
          </w:p>
          <w:p w:rsidR="00A77526" w:rsidRPr="002E0F8B" w:rsidRDefault="002E0F8B">
            <w:pPr>
              <w:rPr>
                <w:lang w:val="fr-CH"/>
              </w:rPr>
            </w:pPr>
            <w:r w:rsidRPr="002E0F8B">
              <w:rPr>
                <w:lang w:val="fr-CH"/>
              </w:rPr>
              <w:t>Fax: +(32) 2 299 80 43,</w:t>
            </w:r>
          </w:p>
          <w:p w:rsidR="00A77526" w:rsidRPr="001A262B" w:rsidRDefault="002E0F8B">
            <w:pPr>
              <w:rPr>
                <w:lang w:val="fr-FR"/>
              </w:rPr>
            </w:pPr>
            <w:r w:rsidRPr="001A262B">
              <w:rPr>
                <w:lang w:val="fr-FR"/>
              </w:rPr>
              <w:t xml:space="preserve">E-mail: </w:t>
            </w:r>
            <w:hyperlink r:id="rId8" w:history="1">
              <w:r w:rsidRPr="001A262B">
                <w:rPr>
                  <w:color w:val="0000FF"/>
                  <w:u w:val="single"/>
                  <w:lang w:val="fr-FR"/>
                </w:rPr>
                <w:t>grow-eu-tbt@ec.europa.eu</w:t>
              </w:r>
            </w:hyperlink>
          </w:p>
          <w:p w:rsidR="00A77526" w:rsidRDefault="002E0F8B">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A77526" w:rsidTr="0069259F">
        <w:tc>
          <w:tcPr>
            <w:tcW w:w="713" w:type="dxa"/>
            <w:tcBorders>
              <w:top w:val="single" w:sz="6" w:space="0" w:color="auto"/>
              <w:bottom w:val="single" w:sz="6" w:space="0" w:color="auto"/>
            </w:tcBorders>
            <w:shd w:val="clear" w:color="auto" w:fill="auto"/>
          </w:tcPr>
          <w:p w:rsidR="00F85C99" w:rsidRPr="002F6A28" w:rsidRDefault="002E0F8B" w:rsidP="001A262B">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E0F8B" w:rsidP="001A262B">
            <w:pPr>
              <w:spacing w:before="80" w:after="80"/>
              <w:rPr>
                <w:b/>
              </w:rPr>
            </w:pPr>
            <w:r w:rsidRPr="002F6A28">
              <w:rPr>
                <w:b/>
              </w:rPr>
              <w:t>Notified under Article 2.9.2 [ </w:t>
            </w:r>
            <w:bookmarkStart w:id="4" w:name="tbt3a"/>
            <w:bookmarkEnd w:id="4"/>
            <w:r w:rsidRPr="002F6A28">
              <w:rPr>
                <w:b/>
              </w:rPr>
              <w:t> ],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A77526" w:rsidTr="0069259F">
        <w:tc>
          <w:tcPr>
            <w:tcW w:w="713" w:type="dxa"/>
            <w:tcBorders>
              <w:top w:val="single" w:sz="6" w:space="0" w:color="auto"/>
              <w:bottom w:val="single" w:sz="6" w:space="0" w:color="auto"/>
            </w:tcBorders>
            <w:shd w:val="clear" w:color="auto" w:fill="auto"/>
          </w:tcPr>
          <w:p w:rsidR="00F85C99" w:rsidRPr="002F6A28" w:rsidRDefault="002E0F8B" w:rsidP="001A262B">
            <w:pPr>
              <w:spacing w:before="80" w:after="80"/>
            </w:pPr>
            <w:r w:rsidRPr="002F6A28">
              <w:rPr>
                <w:b/>
              </w:rPr>
              <w:t>4.</w:t>
            </w:r>
          </w:p>
        </w:tc>
        <w:tc>
          <w:tcPr>
            <w:tcW w:w="8546" w:type="dxa"/>
            <w:tcBorders>
              <w:top w:val="single" w:sz="6" w:space="0" w:color="auto"/>
              <w:bottom w:val="single" w:sz="6" w:space="0" w:color="auto"/>
            </w:tcBorders>
            <w:shd w:val="clear" w:color="auto" w:fill="auto"/>
          </w:tcPr>
          <w:p w:rsidR="00A77526" w:rsidRDefault="002E0F8B" w:rsidP="001A262B">
            <w:pPr>
              <w:spacing w:before="80" w:after="80"/>
            </w:pPr>
            <w:r w:rsidRPr="002F6A28">
              <w:rPr>
                <w:b/>
              </w:rPr>
              <w:t xml:space="preserve">Products covered (HS or CCCN where applicable, otherwise national tariff heading. ICS numbers may be provided in addition, where applicable): </w:t>
            </w:r>
            <w:r>
              <w:t>Electrical and electronic equipment</w:t>
            </w:r>
            <w:bookmarkStart w:id="9" w:name="sps3a"/>
            <w:bookmarkEnd w:id="9"/>
          </w:p>
        </w:tc>
      </w:tr>
      <w:tr w:rsidR="00A77526" w:rsidTr="0069259F">
        <w:tc>
          <w:tcPr>
            <w:tcW w:w="713" w:type="dxa"/>
            <w:tcBorders>
              <w:top w:val="single" w:sz="6" w:space="0" w:color="auto"/>
              <w:bottom w:val="single" w:sz="6" w:space="0" w:color="auto"/>
            </w:tcBorders>
            <w:shd w:val="clear" w:color="auto" w:fill="auto"/>
          </w:tcPr>
          <w:p w:rsidR="00F85C99" w:rsidRPr="002F6A28" w:rsidRDefault="002E0F8B" w:rsidP="001A262B">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E0F8B" w:rsidP="001A262B">
            <w:pPr>
              <w:spacing w:before="80" w:after="80"/>
            </w:pPr>
            <w:r w:rsidRPr="002F6A28">
              <w:rPr>
                <w:b/>
              </w:rPr>
              <w:t xml:space="preserve">Title, number of pages and language(s) of the notified document: </w:t>
            </w:r>
            <w:r>
              <w:t>Draft Commission Implementing Regulation establishing the format for registration and reporting of producers of electrical and electronic equipment and the frequency of reporting to the register (and its accompanying annex) (4 pages + Annex 13 pages, in English)</w:t>
            </w:r>
            <w:bookmarkStart w:id="10" w:name="sps5a"/>
            <w:bookmarkEnd w:id="10"/>
            <w:r w:rsidRPr="002F6A28">
              <w:t xml:space="preserve"> </w:t>
            </w:r>
            <w:bookmarkStart w:id="11" w:name="sps5c"/>
            <w:bookmarkStart w:id="12" w:name="sps5b"/>
            <w:bookmarkEnd w:id="11"/>
            <w:bookmarkEnd w:id="12"/>
          </w:p>
        </w:tc>
      </w:tr>
      <w:tr w:rsidR="00A77526" w:rsidTr="0069259F">
        <w:tc>
          <w:tcPr>
            <w:tcW w:w="713" w:type="dxa"/>
            <w:tcBorders>
              <w:top w:val="single" w:sz="6" w:space="0" w:color="auto"/>
              <w:bottom w:val="single" w:sz="6" w:space="0" w:color="auto"/>
            </w:tcBorders>
            <w:shd w:val="clear" w:color="auto" w:fill="auto"/>
          </w:tcPr>
          <w:p w:rsidR="00F85C99" w:rsidRPr="002F6A28" w:rsidRDefault="002E0F8B" w:rsidP="001A262B">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E0F8B" w:rsidP="001A262B">
            <w:pPr>
              <w:spacing w:before="80" w:after="80"/>
              <w:rPr>
                <w:b/>
              </w:rPr>
            </w:pPr>
            <w:r w:rsidRPr="002F6A28">
              <w:rPr>
                <w:b/>
              </w:rPr>
              <w:t xml:space="preserve">Description of content: </w:t>
            </w:r>
            <w:r>
              <w:t>The draft Commission Implementing Regulation establishes a common format for registration and reporting of producers of electrical and electronic equipment and a common frequency of reporting to the register.</w:t>
            </w:r>
            <w:bookmarkStart w:id="13" w:name="sps6a"/>
            <w:bookmarkEnd w:id="13"/>
          </w:p>
        </w:tc>
      </w:tr>
      <w:tr w:rsidR="00A77526" w:rsidTr="0069259F">
        <w:tc>
          <w:tcPr>
            <w:tcW w:w="713" w:type="dxa"/>
            <w:tcBorders>
              <w:top w:val="single" w:sz="6" w:space="0" w:color="auto"/>
              <w:bottom w:val="single" w:sz="6" w:space="0" w:color="auto"/>
            </w:tcBorders>
            <w:shd w:val="clear" w:color="auto" w:fill="auto"/>
          </w:tcPr>
          <w:p w:rsidR="00F85C99" w:rsidRPr="002F6A28" w:rsidRDefault="002E0F8B" w:rsidP="001A262B">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E0F8B" w:rsidP="001A262B">
            <w:pPr>
              <w:spacing w:before="80" w:after="80"/>
              <w:rPr>
                <w:b/>
              </w:rPr>
            </w:pPr>
            <w:r w:rsidRPr="002F6A28">
              <w:rPr>
                <w:b/>
              </w:rPr>
              <w:t xml:space="preserve">Objective and rationale, including the nature of urgent problems where applicable: </w:t>
            </w:r>
            <w:r>
              <w:t xml:space="preserve"> Harmonisation of rules and procedures applied at Member State level.</w:t>
            </w:r>
          </w:p>
          <w:p w:rsidR="00A77526" w:rsidRDefault="002E0F8B">
            <w:pPr>
              <w:spacing w:after="120"/>
            </w:pPr>
            <w:r>
              <w:t xml:space="preserve">The Directive 2012/19/EU on Waste Electrical and Electronic Equipment (WEEE) provides for Member States to draw up a register for producers of electrical and electronic equipment (EEE), including producers supplying EEE by means of distance communication. Member States shall ensure that each producer, or each authorised representative, is registered and report to the register. </w:t>
            </w:r>
          </w:p>
          <w:p w:rsidR="00A77526" w:rsidRDefault="002E0F8B">
            <w:pPr>
              <w:spacing w:after="120"/>
            </w:pPr>
            <w:r>
              <w:t>The WEEE Directive does not include a format for registration and reporting and does not set a common frequency of reporting. This means that each Member State has established a process for registration and reporting and a frequency of reporting. This situation may cause administrative burdens especially to producers supplying EEE by means of distance communication in different Member States as well as to producers that place EEE on the market of different Member States and have to be registered and report to each Member State using different formats, and in different frequency.</w:t>
            </w:r>
          </w:p>
          <w:p w:rsidR="00A77526" w:rsidRDefault="002E0F8B">
            <w:pPr>
              <w:spacing w:after="120"/>
            </w:pPr>
            <w:r>
              <w:t>The objective of the proposal is to ensure uniform conditions for producers' registration and reporting. Harmonisation of registration and reporting formats and of the frequency of reporting is addressed in the draft Implementing Regulation.</w:t>
            </w:r>
            <w:bookmarkStart w:id="14" w:name="sps7f"/>
            <w:bookmarkEnd w:id="14"/>
          </w:p>
        </w:tc>
      </w:tr>
      <w:tr w:rsidR="00A77526" w:rsidTr="0069259F">
        <w:tc>
          <w:tcPr>
            <w:tcW w:w="713" w:type="dxa"/>
            <w:tcBorders>
              <w:top w:val="single" w:sz="6" w:space="0" w:color="auto"/>
              <w:bottom w:val="single" w:sz="6" w:space="0" w:color="auto"/>
            </w:tcBorders>
            <w:shd w:val="clear" w:color="auto" w:fill="auto"/>
          </w:tcPr>
          <w:p w:rsidR="00F85C99" w:rsidRPr="002F6A28" w:rsidRDefault="002E0F8B"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E0F8B" w:rsidP="002E0F8B">
            <w:pPr>
              <w:spacing w:before="120" w:after="120"/>
              <w:jc w:val="left"/>
            </w:pPr>
            <w:r w:rsidRPr="002F6A28">
              <w:rPr>
                <w:b/>
              </w:rPr>
              <w:t>Relevant documents:</w:t>
            </w:r>
            <w:r w:rsidRPr="002F6A28">
              <w:t xml:space="preserve"> </w:t>
            </w:r>
          </w:p>
          <w:p w:rsidR="00F85C99" w:rsidRPr="002F6A28" w:rsidRDefault="002E0F8B" w:rsidP="001A262B">
            <w:pPr>
              <w:numPr>
                <w:ilvl w:val="0"/>
                <w:numId w:val="16"/>
              </w:numPr>
              <w:spacing w:after="120"/>
            </w:pPr>
            <w:r>
              <w:t xml:space="preserve">Scientific background study on harmonisation of the format for </w:t>
            </w:r>
            <w:r w:rsidR="001A262B">
              <w:br/>
            </w:r>
            <w:r>
              <w:t xml:space="preserve">registration and reporting of producers of electrical and electronic equipment </w:t>
            </w:r>
            <w:r w:rsidR="001A262B">
              <w:br/>
            </w:r>
            <w:r>
              <w:t>(</w:t>
            </w:r>
            <w:proofErr w:type="spellStart"/>
            <w:r>
              <w:t>EEE</w:t>
            </w:r>
            <w:proofErr w:type="spellEnd"/>
            <w:r>
              <w:t xml:space="preserve">) to the national register and on the frequency of reporting </w:t>
            </w:r>
            <w:hyperlink r:id="rId10" w:history="1">
              <w:r>
                <w:rPr>
                  <w:color w:val="0000FF"/>
                  <w:u w:val="single"/>
                </w:rPr>
                <w:t>http://ec.europa.eu/environment/waste/weee/pdf/Study%20on%20Registration%20and%20Reporting_Final%20report.pdf</w:t>
              </w:r>
            </w:hyperlink>
            <w:r>
              <w:t xml:space="preserve"> </w:t>
            </w:r>
          </w:p>
          <w:p w:rsidR="00A77526" w:rsidRDefault="002E0F8B" w:rsidP="001A262B">
            <w:pPr>
              <w:numPr>
                <w:ilvl w:val="0"/>
                <w:numId w:val="16"/>
              </w:numPr>
              <w:spacing w:after="120"/>
            </w:pPr>
            <w:r>
              <w:t xml:space="preserve">Directive 2012/19/EU of the European Parliament and of the Council of </w:t>
            </w:r>
            <w:r w:rsidR="001A262B">
              <w:br/>
            </w:r>
            <w:r>
              <w:t>4 July 2012 on waste electrical and electronic equipment (WEEE).</w:t>
            </w:r>
            <w:hyperlink r:id="rId11" w:history="1">
              <w:r>
                <w:rPr>
                  <w:color w:val="0000FF"/>
                  <w:u w:val="single"/>
                </w:rPr>
                <w:t>http://eur-lex.europa.eu/legal-content/EN/TXT/?uri=CELEX:32012L0019</w:t>
              </w:r>
            </w:hyperlink>
            <w:r>
              <w:t xml:space="preserve"> </w:t>
            </w:r>
          </w:p>
        </w:tc>
      </w:tr>
      <w:tr w:rsidR="00A77526" w:rsidTr="0069259F">
        <w:tc>
          <w:tcPr>
            <w:tcW w:w="713" w:type="dxa"/>
            <w:tcBorders>
              <w:top w:val="single" w:sz="6" w:space="0" w:color="auto"/>
              <w:bottom w:val="single" w:sz="6" w:space="0" w:color="auto"/>
            </w:tcBorders>
            <w:shd w:val="clear" w:color="auto" w:fill="auto"/>
          </w:tcPr>
          <w:p w:rsidR="00EE3A11" w:rsidRPr="002F6A28" w:rsidRDefault="002E0F8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E0F8B" w:rsidP="002E0F8B">
            <w:pPr>
              <w:spacing w:before="120" w:after="120"/>
            </w:pPr>
            <w:r w:rsidRPr="002F6A28">
              <w:rPr>
                <w:b/>
              </w:rPr>
              <w:t xml:space="preserve">Proposed date of adoption: </w:t>
            </w:r>
            <w:bookmarkStart w:id="15" w:name="sps10a"/>
            <w:bookmarkStart w:id="16" w:name="sps10b"/>
            <w:bookmarkEnd w:id="15"/>
            <w:r w:rsidRPr="002F6A28">
              <w:t>June 2018</w:t>
            </w:r>
            <w:bookmarkEnd w:id="16"/>
          </w:p>
          <w:p w:rsidR="00A77526" w:rsidRPr="002F6A28" w:rsidRDefault="002E0F8B" w:rsidP="002E0F8B">
            <w:pPr>
              <w:spacing w:after="120"/>
            </w:pPr>
            <w:r w:rsidRPr="002F6A28">
              <w:rPr>
                <w:b/>
              </w:rPr>
              <w:t xml:space="preserve">Proposed date of entry into force: </w:t>
            </w:r>
            <w:bookmarkStart w:id="17" w:name="sps11a"/>
            <w:bookmarkStart w:id="18" w:name="sps11b"/>
            <w:bookmarkEnd w:id="17"/>
            <w:r w:rsidRPr="002F6A28">
              <w:t>20 days from publication in the Official Journal of the EU (The provisions shall apply from 1 January 2019 according to the proposed implementing regulation)</w:t>
            </w:r>
            <w:bookmarkEnd w:id="18"/>
          </w:p>
        </w:tc>
      </w:tr>
      <w:tr w:rsidR="00A77526" w:rsidTr="0069259F">
        <w:tc>
          <w:tcPr>
            <w:tcW w:w="713" w:type="dxa"/>
            <w:tcBorders>
              <w:top w:val="single" w:sz="6" w:space="0" w:color="auto"/>
              <w:bottom w:val="single" w:sz="6" w:space="0" w:color="auto"/>
            </w:tcBorders>
            <w:shd w:val="clear" w:color="auto" w:fill="auto"/>
          </w:tcPr>
          <w:p w:rsidR="00F85C99" w:rsidRPr="002F6A28" w:rsidRDefault="002E0F8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E0F8B" w:rsidP="002F6A28">
            <w:pPr>
              <w:spacing w:before="120" w:after="120"/>
            </w:pPr>
            <w:r w:rsidRPr="002F6A28">
              <w:rPr>
                <w:b/>
              </w:rPr>
              <w:t xml:space="preserve">Final date for comments: </w:t>
            </w:r>
            <w:r>
              <w:t>60 days from notification</w:t>
            </w:r>
            <w:bookmarkStart w:id="19" w:name="sps12a"/>
            <w:bookmarkEnd w:id="19"/>
          </w:p>
        </w:tc>
      </w:tr>
      <w:tr w:rsidR="00A77526" w:rsidTr="0069259F">
        <w:tc>
          <w:tcPr>
            <w:tcW w:w="713" w:type="dxa"/>
            <w:tcBorders>
              <w:top w:val="single" w:sz="6" w:space="0" w:color="auto"/>
            </w:tcBorders>
            <w:shd w:val="clear" w:color="auto" w:fill="auto"/>
          </w:tcPr>
          <w:p w:rsidR="00F85C99" w:rsidRPr="002F6A28" w:rsidRDefault="002E0F8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E0F8B"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1A262B" w:rsidRPr="001A262B" w:rsidRDefault="002E0F8B" w:rsidP="00E969D2">
            <w:pPr>
              <w:keepNext/>
              <w:keepLines/>
              <w:spacing w:after="120"/>
              <w:jc w:val="left"/>
              <w:rPr>
                <w:color w:val="0000FF"/>
                <w:u w:val="single"/>
                <w:lang w:val="fr-FR"/>
              </w:rPr>
            </w:pPr>
            <w:proofErr w:type="spellStart"/>
            <w:r w:rsidRPr="001A262B">
              <w:rPr>
                <w:lang w:val="fr-FR"/>
              </w:rPr>
              <w:t>European</w:t>
            </w:r>
            <w:proofErr w:type="spellEnd"/>
            <w:r w:rsidRPr="001A262B">
              <w:rPr>
                <w:lang w:val="fr-FR"/>
              </w:rPr>
              <w:t xml:space="preserve"> Commission,</w:t>
            </w:r>
            <w:r w:rsidRPr="001A262B">
              <w:rPr>
                <w:lang w:val="fr-FR"/>
              </w:rPr>
              <w:br/>
              <w:t>EU-</w:t>
            </w:r>
            <w:proofErr w:type="spellStart"/>
            <w:r w:rsidRPr="001A262B">
              <w:rPr>
                <w:lang w:val="fr-FR"/>
              </w:rPr>
              <w:t>TBT</w:t>
            </w:r>
            <w:proofErr w:type="spellEnd"/>
            <w:r w:rsidRPr="001A262B">
              <w:rPr>
                <w:lang w:val="fr-FR"/>
              </w:rPr>
              <w:t xml:space="preserve"> </w:t>
            </w:r>
            <w:proofErr w:type="spellStart"/>
            <w:r w:rsidRPr="001A262B">
              <w:rPr>
                <w:lang w:val="fr-FR"/>
              </w:rPr>
              <w:t>Enquiry</w:t>
            </w:r>
            <w:proofErr w:type="spellEnd"/>
            <w:r w:rsidRPr="001A262B">
              <w:rPr>
                <w:lang w:val="fr-FR"/>
              </w:rPr>
              <w:t xml:space="preserve"> Point,</w:t>
            </w:r>
            <w:r w:rsidRPr="001A262B">
              <w:rPr>
                <w:lang w:val="fr-FR"/>
              </w:rPr>
              <w:br/>
              <w:t>Fax: + (32) 2 299 80 43,</w:t>
            </w:r>
            <w:r w:rsidRPr="001A262B">
              <w:rPr>
                <w:lang w:val="fr-FR"/>
              </w:rPr>
              <w:br/>
              <w:t xml:space="preserve">E-mail: </w:t>
            </w:r>
            <w:hyperlink r:id="rId12" w:history="1">
              <w:r w:rsidRPr="001A262B">
                <w:rPr>
                  <w:color w:val="0000FF"/>
                  <w:u w:val="single"/>
                  <w:lang w:val="fr-FR"/>
                </w:rPr>
                <w:t>grow-eu-tbt@ec.europa.eu</w:t>
              </w:r>
            </w:hyperlink>
          </w:p>
          <w:p w:rsidR="001A262B" w:rsidRDefault="002E0F8B" w:rsidP="00E969D2">
            <w:pPr>
              <w:keepNext/>
              <w:keepLines/>
              <w:spacing w:after="120"/>
              <w:jc w:val="left"/>
            </w:pPr>
            <w:r>
              <w:t xml:space="preserve">The text is available on the EU-TBT Website: </w:t>
            </w:r>
          </w:p>
          <w:p w:rsidR="001A262B" w:rsidRDefault="00184DE1" w:rsidP="00E969D2">
            <w:pPr>
              <w:keepNext/>
              <w:keepLines/>
              <w:spacing w:after="120"/>
              <w:jc w:val="left"/>
              <w:rPr>
                <w:color w:val="0000FF"/>
                <w:u w:val="single"/>
              </w:rPr>
            </w:pPr>
            <w:hyperlink r:id="rId13" w:tgtFrame="_blank" w:history="1">
              <w:r w:rsidR="002E0F8B">
                <w:rPr>
                  <w:color w:val="0000FF"/>
                  <w:u w:val="single"/>
                </w:rPr>
                <w:t>http://ec.europa.eu/growth/tools-databases/tbt/en/</w:t>
              </w:r>
            </w:hyperlink>
          </w:p>
          <w:p w:rsidR="00F85C99" w:rsidRPr="002F6A28" w:rsidRDefault="00184DE1" w:rsidP="00E969D2">
            <w:pPr>
              <w:keepNext/>
              <w:keepLines/>
              <w:spacing w:after="120"/>
              <w:jc w:val="left"/>
            </w:pPr>
            <w:hyperlink r:id="rId14" w:tgtFrame="_blank" w:history="1">
              <w:r w:rsidR="002E0F8B">
                <w:rPr>
                  <w:color w:val="0000FF"/>
                  <w:u w:val="single"/>
                </w:rPr>
                <w:t>https://members.wto.org/crnattachments/2018/TBT/EEC/18_0785_00_e.pdf</w:t>
              </w:r>
            </w:hyperlink>
          </w:p>
          <w:p w:rsidR="00A77526" w:rsidRDefault="00184DE1">
            <w:pPr>
              <w:spacing w:after="120"/>
              <w:jc w:val="left"/>
            </w:pPr>
            <w:hyperlink r:id="rId15" w:tgtFrame="_blank" w:history="1">
              <w:r w:rsidR="002E0F8B">
                <w:rPr>
                  <w:color w:val="0000FF"/>
                  <w:u w:val="single"/>
                </w:rPr>
                <w:t>https://members.wto.org/crnattachments/2018/TBT/EEC/18_0785_01_e.pdf</w:t>
              </w:r>
            </w:hyperlink>
            <w:bookmarkStart w:id="21" w:name="sps13c"/>
            <w:bookmarkEnd w:id="21"/>
          </w:p>
        </w:tc>
      </w:tr>
    </w:tbl>
    <w:p w:rsidR="00EE3A11" w:rsidRPr="002F6A28" w:rsidRDefault="00184DE1" w:rsidP="002F6A28"/>
    <w:sectPr w:rsidR="00EE3A11" w:rsidRPr="002F6A28" w:rsidSect="002E0F8B">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EA" w:rsidRDefault="002E0F8B">
      <w:r>
        <w:separator/>
      </w:r>
    </w:p>
  </w:endnote>
  <w:endnote w:type="continuationSeparator" w:id="0">
    <w:p w:rsidR="00D27CEA" w:rsidRDefault="002E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E0F8B" w:rsidRDefault="002E0F8B" w:rsidP="002E0F8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E0F8B" w:rsidRDefault="002E0F8B" w:rsidP="002E0F8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E0F8B">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EA" w:rsidRDefault="002E0F8B">
      <w:r>
        <w:separator/>
      </w:r>
    </w:p>
  </w:footnote>
  <w:footnote w:type="continuationSeparator" w:id="0">
    <w:p w:rsidR="00D27CEA" w:rsidRDefault="002E0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8B" w:rsidRPr="002E0F8B" w:rsidRDefault="002E0F8B" w:rsidP="002E0F8B">
    <w:pPr>
      <w:pStyle w:val="En-tte"/>
      <w:pBdr>
        <w:bottom w:val="single" w:sz="4" w:space="1" w:color="auto"/>
      </w:pBdr>
      <w:tabs>
        <w:tab w:val="clear" w:pos="4513"/>
        <w:tab w:val="clear" w:pos="9027"/>
      </w:tabs>
      <w:jc w:val="center"/>
    </w:pPr>
    <w:r w:rsidRPr="002E0F8B">
      <w:t>G/TBT/N/EU/541</w:t>
    </w:r>
  </w:p>
  <w:p w:rsidR="002E0F8B" w:rsidRPr="002E0F8B" w:rsidRDefault="002E0F8B" w:rsidP="002E0F8B">
    <w:pPr>
      <w:pStyle w:val="En-tte"/>
      <w:pBdr>
        <w:bottom w:val="single" w:sz="4" w:space="1" w:color="auto"/>
      </w:pBdr>
      <w:tabs>
        <w:tab w:val="clear" w:pos="4513"/>
        <w:tab w:val="clear" w:pos="9027"/>
      </w:tabs>
      <w:jc w:val="center"/>
    </w:pPr>
  </w:p>
  <w:p w:rsidR="002E0F8B" w:rsidRPr="002E0F8B" w:rsidRDefault="002E0F8B" w:rsidP="002E0F8B">
    <w:pPr>
      <w:pStyle w:val="En-tte"/>
      <w:pBdr>
        <w:bottom w:val="single" w:sz="4" w:space="1" w:color="auto"/>
      </w:pBdr>
      <w:tabs>
        <w:tab w:val="clear" w:pos="4513"/>
        <w:tab w:val="clear" w:pos="9027"/>
      </w:tabs>
      <w:jc w:val="center"/>
    </w:pPr>
    <w:r w:rsidRPr="002E0F8B">
      <w:t xml:space="preserve">- </w:t>
    </w:r>
    <w:r w:rsidRPr="002E0F8B">
      <w:fldChar w:fldCharType="begin"/>
    </w:r>
    <w:r w:rsidRPr="002E0F8B">
      <w:instrText xml:space="preserve"> PAGE </w:instrText>
    </w:r>
    <w:r w:rsidRPr="002E0F8B">
      <w:fldChar w:fldCharType="separate"/>
    </w:r>
    <w:r w:rsidR="00184DE1">
      <w:rPr>
        <w:noProof/>
      </w:rPr>
      <w:t>2</w:t>
    </w:r>
    <w:r w:rsidRPr="002E0F8B">
      <w:fldChar w:fldCharType="end"/>
    </w:r>
    <w:r w:rsidRPr="002E0F8B">
      <w:t xml:space="preserve"> -</w:t>
    </w:r>
  </w:p>
  <w:p w:rsidR="009239F7" w:rsidRPr="002E0F8B" w:rsidRDefault="00184DE1" w:rsidP="002E0F8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8B" w:rsidRPr="002E0F8B" w:rsidRDefault="002E0F8B" w:rsidP="002E0F8B">
    <w:pPr>
      <w:pStyle w:val="En-tte"/>
      <w:pBdr>
        <w:bottom w:val="single" w:sz="4" w:space="1" w:color="auto"/>
      </w:pBdr>
      <w:tabs>
        <w:tab w:val="clear" w:pos="4513"/>
        <w:tab w:val="clear" w:pos="9027"/>
      </w:tabs>
      <w:jc w:val="center"/>
    </w:pPr>
    <w:r w:rsidRPr="002E0F8B">
      <w:t>G/TBT/N/EU/541</w:t>
    </w:r>
  </w:p>
  <w:p w:rsidR="002E0F8B" w:rsidRPr="002E0F8B" w:rsidRDefault="002E0F8B" w:rsidP="002E0F8B">
    <w:pPr>
      <w:pStyle w:val="En-tte"/>
      <w:pBdr>
        <w:bottom w:val="single" w:sz="4" w:space="1" w:color="auto"/>
      </w:pBdr>
      <w:tabs>
        <w:tab w:val="clear" w:pos="4513"/>
        <w:tab w:val="clear" w:pos="9027"/>
      </w:tabs>
      <w:jc w:val="center"/>
    </w:pPr>
  </w:p>
  <w:p w:rsidR="002E0F8B" w:rsidRPr="002E0F8B" w:rsidRDefault="002E0F8B" w:rsidP="002E0F8B">
    <w:pPr>
      <w:pStyle w:val="En-tte"/>
      <w:pBdr>
        <w:bottom w:val="single" w:sz="4" w:space="1" w:color="auto"/>
      </w:pBdr>
      <w:tabs>
        <w:tab w:val="clear" w:pos="4513"/>
        <w:tab w:val="clear" w:pos="9027"/>
      </w:tabs>
      <w:jc w:val="center"/>
    </w:pPr>
    <w:r w:rsidRPr="002E0F8B">
      <w:t xml:space="preserve">- </w:t>
    </w:r>
    <w:r w:rsidRPr="002E0F8B">
      <w:fldChar w:fldCharType="begin"/>
    </w:r>
    <w:r w:rsidRPr="002E0F8B">
      <w:instrText xml:space="preserve"> PAGE </w:instrText>
    </w:r>
    <w:r w:rsidRPr="002E0F8B">
      <w:fldChar w:fldCharType="separate"/>
    </w:r>
    <w:r w:rsidRPr="002E0F8B">
      <w:rPr>
        <w:noProof/>
      </w:rPr>
      <w:t>2</w:t>
    </w:r>
    <w:r w:rsidRPr="002E0F8B">
      <w:fldChar w:fldCharType="end"/>
    </w:r>
    <w:r w:rsidRPr="002E0F8B">
      <w:t xml:space="preserve"> -</w:t>
    </w:r>
  </w:p>
  <w:p w:rsidR="009239F7" w:rsidRPr="002E0F8B" w:rsidRDefault="00184DE1" w:rsidP="002E0F8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7526" w:rsidTr="008612A9">
      <w:trPr>
        <w:trHeight w:val="240"/>
        <w:jc w:val="center"/>
      </w:trPr>
      <w:tc>
        <w:tcPr>
          <w:tcW w:w="3794" w:type="dxa"/>
          <w:shd w:val="clear" w:color="auto" w:fill="FFFFFF"/>
          <w:tcMar>
            <w:left w:w="108" w:type="dxa"/>
            <w:right w:w="108" w:type="dxa"/>
          </w:tcMar>
          <w:vAlign w:val="center"/>
        </w:tcPr>
        <w:p w:rsidR="00ED54E0" w:rsidRPr="009239F7" w:rsidRDefault="00184DE1"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E0F8B" w:rsidP="00B801E9">
          <w:pPr>
            <w:jc w:val="right"/>
            <w:rPr>
              <w:b/>
              <w:color w:val="FF0000"/>
              <w:szCs w:val="16"/>
            </w:rPr>
          </w:pPr>
          <w:r>
            <w:rPr>
              <w:b/>
              <w:color w:val="FF0000"/>
              <w:szCs w:val="16"/>
            </w:rPr>
            <w:t xml:space="preserve"> </w:t>
          </w:r>
        </w:p>
      </w:tc>
    </w:tr>
    <w:bookmarkEnd w:id="22"/>
    <w:tr w:rsidR="00A77526" w:rsidTr="008612A9">
      <w:trPr>
        <w:trHeight w:val="213"/>
        <w:jc w:val="center"/>
      </w:trPr>
      <w:tc>
        <w:tcPr>
          <w:tcW w:w="3794" w:type="dxa"/>
          <w:vMerge w:val="restart"/>
          <w:shd w:val="clear" w:color="auto" w:fill="FFFFFF"/>
          <w:tcMar>
            <w:left w:w="0" w:type="dxa"/>
            <w:right w:w="0" w:type="dxa"/>
          </w:tcMar>
        </w:tcPr>
        <w:p w:rsidR="00ED54E0" w:rsidRPr="009239F7" w:rsidRDefault="000E6732" w:rsidP="00B801E9">
          <w:pPr>
            <w:jc w:val="left"/>
          </w:pPr>
          <w:r>
            <w:rPr>
              <w:noProof/>
              <w:lang w:val="fr-FR" w:eastAsia="fr-FR"/>
            </w:rPr>
            <w:drawing>
              <wp:inline distT="0" distB="0" distL="0" distR="0" wp14:anchorId="79A211C7" wp14:editId="5990E79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84DE1" w:rsidP="00B801E9">
          <w:pPr>
            <w:jc w:val="right"/>
            <w:rPr>
              <w:b/>
              <w:szCs w:val="16"/>
            </w:rPr>
          </w:pPr>
        </w:p>
      </w:tc>
    </w:tr>
    <w:tr w:rsidR="00A77526" w:rsidTr="008612A9">
      <w:trPr>
        <w:trHeight w:val="868"/>
        <w:jc w:val="center"/>
      </w:trPr>
      <w:tc>
        <w:tcPr>
          <w:tcW w:w="3794" w:type="dxa"/>
          <w:vMerge/>
          <w:shd w:val="clear" w:color="auto" w:fill="FFFFFF"/>
          <w:tcMar>
            <w:left w:w="108" w:type="dxa"/>
            <w:right w:w="108" w:type="dxa"/>
          </w:tcMar>
        </w:tcPr>
        <w:p w:rsidR="00ED54E0" w:rsidRPr="009239F7" w:rsidRDefault="00184DE1" w:rsidP="00B801E9">
          <w:pPr>
            <w:jc w:val="left"/>
            <w:rPr>
              <w:noProof/>
              <w:lang w:eastAsia="en-GB"/>
            </w:rPr>
          </w:pPr>
        </w:p>
      </w:tc>
      <w:tc>
        <w:tcPr>
          <w:tcW w:w="5448" w:type="dxa"/>
          <w:gridSpan w:val="2"/>
          <w:shd w:val="clear" w:color="auto" w:fill="FFFFFF"/>
          <w:tcMar>
            <w:left w:w="108" w:type="dxa"/>
            <w:right w:w="108" w:type="dxa"/>
          </w:tcMar>
        </w:tcPr>
        <w:p w:rsidR="002E0F8B" w:rsidRDefault="002E0F8B" w:rsidP="00B801E9">
          <w:pPr>
            <w:jc w:val="right"/>
            <w:rPr>
              <w:b/>
              <w:szCs w:val="16"/>
            </w:rPr>
          </w:pPr>
          <w:bookmarkStart w:id="23" w:name="bmkSymbols"/>
          <w:r>
            <w:rPr>
              <w:b/>
              <w:szCs w:val="16"/>
            </w:rPr>
            <w:t>G/TBT/N/EU/541</w:t>
          </w:r>
        </w:p>
        <w:bookmarkEnd w:id="23"/>
        <w:p w:rsidR="00ED54E0" w:rsidRPr="009239F7" w:rsidRDefault="00184DE1" w:rsidP="00B801E9">
          <w:pPr>
            <w:jc w:val="right"/>
            <w:rPr>
              <w:b/>
              <w:szCs w:val="16"/>
            </w:rPr>
          </w:pPr>
        </w:p>
      </w:tc>
    </w:tr>
    <w:tr w:rsidR="00A77526" w:rsidTr="008612A9">
      <w:trPr>
        <w:trHeight w:val="240"/>
        <w:jc w:val="center"/>
      </w:trPr>
      <w:tc>
        <w:tcPr>
          <w:tcW w:w="3794" w:type="dxa"/>
          <w:vMerge/>
          <w:shd w:val="clear" w:color="auto" w:fill="FFFFFF"/>
          <w:tcMar>
            <w:left w:w="108" w:type="dxa"/>
            <w:right w:w="108" w:type="dxa"/>
          </w:tcMar>
          <w:vAlign w:val="center"/>
        </w:tcPr>
        <w:p w:rsidR="00ED54E0" w:rsidRPr="009239F7" w:rsidRDefault="00184DE1" w:rsidP="00B801E9"/>
      </w:tc>
      <w:tc>
        <w:tcPr>
          <w:tcW w:w="5448" w:type="dxa"/>
          <w:gridSpan w:val="2"/>
          <w:shd w:val="clear" w:color="auto" w:fill="FFFFFF"/>
          <w:tcMar>
            <w:left w:w="108" w:type="dxa"/>
            <w:right w:w="108" w:type="dxa"/>
          </w:tcMar>
          <w:vAlign w:val="center"/>
        </w:tcPr>
        <w:p w:rsidR="00ED54E0" w:rsidRPr="009239F7" w:rsidRDefault="00184DE1" w:rsidP="00B801E9">
          <w:pPr>
            <w:jc w:val="right"/>
            <w:rPr>
              <w:szCs w:val="16"/>
            </w:rPr>
          </w:pPr>
          <w:bookmarkStart w:id="24" w:name="spsDateDistribution"/>
          <w:bookmarkStart w:id="25" w:name="bmkDate"/>
          <w:bookmarkEnd w:id="24"/>
          <w:bookmarkEnd w:id="25"/>
          <w:r>
            <w:rPr>
              <w:szCs w:val="16"/>
            </w:rPr>
            <w:t xml:space="preserve">8 February </w:t>
          </w:r>
          <w:r>
            <w:rPr>
              <w:szCs w:val="16"/>
            </w:rPr>
            <w:t>2018</w:t>
          </w:r>
          <w:bookmarkStart w:id="26" w:name="_GoBack"/>
          <w:bookmarkEnd w:id="26"/>
        </w:p>
      </w:tc>
    </w:tr>
    <w:tr w:rsidR="00A7752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E0F8B" w:rsidP="0097650D">
          <w:pPr>
            <w:jc w:val="left"/>
            <w:rPr>
              <w:b/>
            </w:rPr>
          </w:pPr>
          <w:bookmarkStart w:id="27" w:name="bmkSerial"/>
          <w:r w:rsidRPr="002F6A28">
            <w:rPr>
              <w:color w:val="FF0000"/>
              <w:szCs w:val="16"/>
            </w:rPr>
            <w:t>(</w:t>
          </w:r>
          <w:bookmarkStart w:id="28" w:name="spsSerialNumber"/>
          <w:bookmarkEnd w:id="28"/>
          <w:r w:rsidR="00184DE1">
            <w:rPr>
              <w:color w:val="FF0000"/>
              <w:szCs w:val="16"/>
            </w:rPr>
            <w:t>18-0882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E0F8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84DE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84DE1">
            <w:rPr>
              <w:bCs/>
              <w:noProof/>
              <w:szCs w:val="16"/>
            </w:rPr>
            <w:t>2</w:t>
          </w:r>
          <w:r w:rsidRPr="002F6A28">
            <w:rPr>
              <w:bCs/>
              <w:szCs w:val="16"/>
            </w:rPr>
            <w:fldChar w:fldCharType="end"/>
          </w:r>
          <w:bookmarkEnd w:id="29"/>
        </w:p>
      </w:tc>
    </w:tr>
    <w:tr w:rsidR="00A7752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E0F8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E0F8B" w:rsidP="00B801E9">
          <w:pPr>
            <w:jc w:val="right"/>
            <w:rPr>
              <w:bCs/>
              <w:szCs w:val="18"/>
            </w:rPr>
          </w:pPr>
          <w:bookmarkStart w:id="31" w:name="bmkLanguage"/>
          <w:r>
            <w:rPr>
              <w:bCs/>
              <w:szCs w:val="18"/>
            </w:rPr>
            <w:t>Original: English</w:t>
          </w:r>
          <w:bookmarkEnd w:id="31"/>
        </w:p>
      </w:tc>
    </w:tr>
  </w:tbl>
  <w:p w:rsidR="00ED54E0" w:rsidRPr="002F6A28" w:rsidRDefault="00184D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866C284">
      <w:start w:val="1"/>
      <w:numFmt w:val="decimal"/>
      <w:pStyle w:val="SummaryText"/>
      <w:lvlText w:val="%1."/>
      <w:lvlJc w:val="left"/>
      <w:pPr>
        <w:ind w:left="360" w:hanging="360"/>
      </w:pPr>
    </w:lvl>
    <w:lvl w:ilvl="1" w:tplc="F58CB178" w:tentative="1">
      <w:start w:val="1"/>
      <w:numFmt w:val="lowerLetter"/>
      <w:lvlText w:val="%2."/>
      <w:lvlJc w:val="left"/>
      <w:pPr>
        <w:ind w:left="1080" w:hanging="360"/>
      </w:pPr>
    </w:lvl>
    <w:lvl w:ilvl="2" w:tplc="DB423408" w:tentative="1">
      <w:start w:val="1"/>
      <w:numFmt w:val="lowerRoman"/>
      <w:lvlText w:val="%3."/>
      <w:lvlJc w:val="right"/>
      <w:pPr>
        <w:ind w:left="1800" w:hanging="180"/>
      </w:pPr>
    </w:lvl>
    <w:lvl w:ilvl="3" w:tplc="7E727702" w:tentative="1">
      <w:start w:val="1"/>
      <w:numFmt w:val="decimal"/>
      <w:lvlText w:val="%4."/>
      <w:lvlJc w:val="left"/>
      <w:pPr>
        <w:ind w:left="2520" w:hanging="360"/>
      </w:pPr>
    </w:lvl>
    <w:lvl w:ilvl="4" w:tplc="F5EE33B2" w:tentative="1">
      <w:start w:val="1"/>
      <w:numFmt w:val="lowerLetter"/>
      <w:lvlText w:val="%5."/>
      <w:lvlJc w:val="left"/>
      <w:pPr>
        <w:ind w:left="3240" w:hanging="360"/>
      </w:pPr>
    </w:lvl>
    <w:lvl w:ilvl="5" w:tplc="9B14D04A" w:tentative="1">
      <w:start w:val="1"/>
      <w:numFmt w:val="lowerRoman"/>
      <w:lvlText w:val="%6."/>
      <w:lvlJc w:val="right"/>
      <w:pPr>
        <w:ind w:left="3960" w:hanging="180"/>
      </w:pPr>
    </w:lvl>
    <w:lvl w:ilvl="6" w:tplc="4A1C7546" w:tentative="1">
      <w:start w:val="1"/>
      <w:numFmt w:val="decimal"/>
      <w:lvlText w:val="%7."/>
      <w:lvlJc w:val="left"/>
      <w:pPr>
        <w:ind w:left="4680" w:hanging="360"/>
      </w:pPr>
    </w:lvl>
    <w:lvl w:ilvl="7" w:tplc="69B00124" w:tentative="1">
      <w:start w:val="1"/>
      <w:numFmt w:val="lowerLetter"/>
      <w:lvlText w:val="%8."/>
      <w:lvlJc w:val="left"/>
      <w:pPr>
        <w:ind w:left="5400" w:hanging="360"/>
      </w:pPr>
    </w:lvl>
    <w:lvl w:ilvl="8" w:tplc="3A70552A" w:tentative="1">
      <w:start w:val="1"/>
      <w:numFmt w:val="lowerRoman"/>
      <w:lvlText w:val="%9."/>
      <w:lvlJc w:val="right"/>
      <w:pPr>
        <w:ind w:left="6120" w:hanging="180"/>
      </w:pPr>
    </w:lvl>
  </w:abstractNum>
  <w:abstractNum w:abstractNumId="14">
    <w:nsid w:val="63D526BB"/>
    <w:multiLevelType w:val="hybridMultilevel"/>
    <w:tmpl w:val="63D526BB"/>
    <w:lvl w:ilvl="0" w:tplc="3078C32A">
      <w:start w:val="1"/>
      <w:numFmt w:val="bullet"/>
      <w:lvlText w:val=""/>
      <w:lvlJc w:val="left"/>
      <w:pPr>
        <w:tabs>
          <w:tab w:val="num" w:pos="720"/>
        </w:tabs>
        <w:ind w:left="720" w:hanging="360"/>
      </w:pPr>
      <w:rPr>
        <w:rFonts w:ascii="Symbol" w:hAnsi="Symbol"/>
      </w:rPr>
    </w:lvl>
    <w:lvl w:ilvl="1" w:tplc="951E1324">
      <w:start w:val="1"/>
      <w:numFmt w:val="bullet"/>
      <w:lvlText w:val="o"/>
      <w:lvlJc w:val="left"/>
      <w:pPr>
        <w:tabs>
          <w:tab w:val="num" w:pos="1440"/>
        </w:tabs>
        <w:ind w:left="1440" w:hanging="360"/>
      </w:pPr>
      <w:rPr>
        <w:rFonts w:ascii="Courier New" w:hAnsi="Courier New"/>
      </w:rPr>
    </w:lvl>
    <w:lvl w:ilvl="2" w:tplc="AC20F316">
      <w:start w:val="1"/>
      <w:numFmt w:val="bullet"/>
      <w:lvlText w:val=""/>
      <w:lvlJc w:val="left"/>
      <w:pPr>
        <w:tabs>
          <w:tab w:val="num" w:pos="2160"/>
        </w:tabs>
        <w:ind w:left="2160" w:hanging="360"/>
      </w:pPr>
      <w:rPr>
        <w:rFonts w:ascii="Wingdings" w:hAnsi="Wingdings"/>
      </w:rPr>
    </w:lvl>
    <w:lvl w:ilvl="3" w:tplc="275EB7B8">
      <w:start w:val="1"/>
      <w:numFmt w:val="bullet"/>
      <w:lvlText w:val=""/>
      <w:lvlJc w:val="left"/>
      <w:pPr>
        <w:tabs>
          <w:tab w:val="num" w:pos="2880"/>
        </w:tabs>
        <w:ind w:left="2880" w:hanging="360"/>
      </w:pPr>
      <w:rPr>
        <w:rFonts w:ascii="Symbol" w:hAnsi="Symbol"/>
      </w:rPr>
    </w:lvl>
    <w:lvl w:ilvl="4" w:tplc="B3567BEA">
      <w:start w:val="1"/>
      <w:numFmt w:val="bullet"/>
      <w:lvlText w:val="o"/>
      <w:lvlJc w:val="left"/>
      <w:pPr>
        <w:tabs>
          <w:tab w:val="num" w:pos="3600"/>
        </w:tabs>
        <w:ind w:left="3600" w:hanging="360"/>
      </w:pPr>
      <w:rPr>
        <w:rFonts w:ascii="Courier New" w:hAnsi="Courier New"/>
      </w:rPr>
    </w:lvl>
    <w:lvl w:ilvl="5" w:tplc="3DF8A472">
      <w:start w:val="1"/>
      <w:numFmt w:val="bullet"/>
      <w:lvlText w:val=""/>
      <w:lvlJc w:val="left"/>
      <w:pPr>
        <w:tabs>
          <w:tab w:val="num" w:pos="4320"/>
        </w:tabs>
        <w:ind w:left="4320" w:hanging="360"/>
      </w:pPr>
      <w:rPr>
        <w:rFonts w:ascii="Wingdings" w:hAnsi="Wingdings"/>
      </w:rPr>
    </w:lvl>
    <w:lvl w:ilvl="6" w:tplc="12E8B8F0">
      <w:start w:val="1"/>
      <w:numFmt w:val="bullet"/>
      <w:lvlText w:val=""/>
      <w:lvlJc w:val="left"/>
      <w:pPr>
        <w:tabs>
          <w:tab w:val="num" w:pos="5040"/>
        </w:tabs>
        <w:ind w:left="5040" w:hanging="360"/>
      </w:pPr>
      <w:rPr>
        <w:rFonts w:ascii="Symbol" w:hAnsi="Symbol"/>
      </w:rPr>
    </w:lvl>
    <w:lvl w:ilvl="7" w:tplc="4ED0D94A">
      <w:start w:val="1"/>
      <w:numFmt w:val="bullet"/>
      <w:lvlText w:val="o"/>
      <w:lvlJc w:val="left"/>
      <w:pPr>
        <w:tabs>
          <w:tab w:val="num" w:pos="5760"/>
        </w:tabs>
        <w:ind w:left="5760" w:hanging="360"/>
      </w:pPr>
      <w:rPr>
        <w:rFonts w:ascii="Courier New" w:hAnsi="Courier New"/>
      </w:rPr>
    </w:lvl>
    <w:lvl w:ilvl="8" w:tplc="8C92689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26"/>
    <w:rsid w:val="000E6732"/>
    <w:rsid w:val="00184DE1"/>
    <w:rsid w:val="001A262B"/>
    <w:rsid w:val="002E0F8B"/>
    <w:rsid w:val="00A77526"/>
    <w:rsid w:val="00D2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uri=CELEX:32012L0019" TargetMode="External"/><Relationship Id="rId5" Type="http://schemas.openxmlformats.org/officeDocument/2006/relationships/webSettings" Target="webSettings.xml"/><Relationship Id="rId15" Type="http://schemas.openxmlformats.org/officeDocument/2006/relationships/hyperlink" Target="https://members.wto.org/crnattachments/2018/TBT/EEC/18_0785_01_e.pdf" TargetMode="External"/><Relationship Id="rId23" Type="http://schemas.openxmlformats.org/officeDocument/2006/relationships/theme" Target="theme/theme1.xml"/><Relationship Id="rId10" Type="http://schemas.openxmlformats.org/officeDocument/2006/relationships/hyperlink" Target="http://ec.europa.eu/environment/waste/weee/pdf/Study%20on%20Registration%20and%20Reporting_Final%20repor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8/TBT/EEC/18_0785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2018-02-08T14:20:00Z</cp:lastPrinted>
  <dcterms:created xsi:type="dcterms:W3CDTF">2018-02-08T11:32:00Z</dcterms:created>
  <dcterms:modified xsi:type="dcterms:W3CDTF">2018-02-08T14:28:00Z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G/TBT/N/EU/541</vt:lpwstr>
  </property>
</Properties>
</file>