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E72F1F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E72F1F" w:rsidP="00446FAB">
      <w:pPr>
        <w:pStyle w:val="Title3"/>
      </w:pPr>
      <w:r w:rsidRPr="00446FAB">
        <w:t>Addendum</w:t>
      </w:r>
    </w:p>
    <w:p w:rsidR="00985FA7" w:rsidRPr="00446FAB" w:rsidRDefault="00E72F1F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18 April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European Union</w:t>
      </w:r>
      <w:bookmarkEnd w:id="2"/>
      <w:r w:rsidRPr="00446FAB">
        <w:t xml:space="preserve">. </w:t>
      </w:r>
    </w:p>
    <w:p w:rsidR="00985FA7" w:rsidRPr="00446FAB" w:rsidRDefault="00107726" w:rsidP="00446FAB"/>
    <w:p w:rsidR="00985FA7" w:rsidRPr="00446FAB" w:rsidRDefault="00E72F1F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107726" w:rsidP="00446FAB"/>
    <w:p w:rsidR="00985FA7" w:rsidRPr="00446FAB" w:rsidRDefault="00107726" w:rsidP="00446FAB"/>
    <w:p w:rsidR="00985FA7" w:rsidRPr="00446FAB" w:rsidRDefault="00E72F1F" w:rsidP="00E72F1F">
      <w:pPr>
        <w:spacing w:after="120"/>
      </w:pPr>
      <w:r>
        <w:t xml:space="preserve">The European Union would like to inform the WTO Members that the </w:t>
      </w:r>
      <w:r>
        <w:rPr>
          <w:i/>
          <w:iCs/>
        </w:rPr>
        <w:t>"draft Commission Regulation amending Annex V to Regulation (EC) No 1223/2009 of the European Parliament and of the Council on cosmetic products"</w:t>
      </w:r>
      <w:r>
        <w:t xml:space="preserve"> has been amended. </w:t>
      </w:r>
    </w:p>
    <w:p w:rsidR="00951635" w:rsidRDefault="00E72F1F" w:rsidP="001B706D">
      <w:pPr>
        <w:spacing w:after="120"/>
      </w:pPr>
      <w:r>
        <w:t>The amendments concern the following point:</w:t>
      </w:r>
    </w:p>
    <w:p w:rsidR="00951635" w:rsidRDefault="00E72F1F" w:rsidP="00E72F1F">
      <w:r>
        <w:t>The use of sodium o-</w:t>
      </w:r>
      <w:proofErr w:type="spellStart"/>
      <w:r>
        <w:t>phenylphenate</w:t>
      </w:r>
      <w:proofErr w:type="spellEnd"/>
      <w:r>
        <w:t>, potassium o-</w:t>
      </w:r>
      <w:proofErr w:type="spellStart"/>
      <w:r>
        <w:t>phenylphenate</w:t>
      </w:r>
      <w:proofErr w:type="spellEnd"/>
      <w:r>
        <w:t xml:space="preserve"> and </w:t>
      </w:r>
      <w:proofErr w:type="spellStart"/>
      <w:r>
        <w:t>MEA</w:t>
      </w:r>
      <w:proofErr w:type="spellEnd"/>
      <w:r>
        <w:t xml:space="preserve"> o-</w:t>
      </w:r>
      <w:proofErr w:type="spellStart"/>
      <w:r>
        <w:t>phenylphenate</w:t>
      </w:r>
      <w:proofErr w:type="spellEnd"/>
      <w:r>
        <w:t xml:space="preserve"> as preservatives should not be allowed. </w:t>
      </w:r>
    </w:p>
    <w:p w:rsidR="00951635" w:rsidRDefault="00E72F1F" w:rsidP="00E72F1F">
      <w:pPr>
        <w:spacing w:after="120"/>
      </w:pPr>
      <w:r>
        <w:t>Final date for comments: 30 days from date of notification.</w:t>
      </w:r>
    </w:p>
    <w:p w:rsidR="001B706D" w:rsidRDefault="00E72F1F" w:rsidP="001B706D">
      <w:pPr>
        <w:spacing w:after="120"/>
        <w:jc w:val="left"/>
      </w:pPr>
      <w:r>
        <w:t xml:space="preserve">The text of the amended draft Commission Regulation is available on the EU-TBT website: </w:t>
      </w:r>
    </w:p>
    <w:p w:rsidR="00985FA7" w:rsidRPr="00446FAB" w:rsidRDefault="00107726" w:rsidP="001B706D">
      <w:pPr>
        <w:spacing w:after="120"/>
        <w:jc w:val="left"/>
      </w:pPr>
      <w:hyperlink r:id="rId8" w:history="1">
        <w:hyperlink r:id="rId9" w:tgtFrame="_blank" w:history="1">
          <w:r w:rsidR="00E72F1F">
            <w:rPr>
              <w:color w:val="0000FF"/>
              <w:u w:val="single"/>
            </w:rPr>
            <w:t>http://ec.europa.eu/growth/tools-databases/tbt/</w:t>
          </w:r>
        </w:hyperlink>
      </w:hyperlink>
      <w:r w:rsidR="00E72F1F">
        <w:t xml:space="preserve"> and also at </w:t>
      </w:r>
      <w:bookmarkStart w:id="3" w:name="spsTitle"/>
      <w:bookmarkEnd w:id="3"/>
    </w:p>
    <w:p w:rsidR="00985FA7" w:rsidRPr="00446FAB" w:rsidRDefault="00107726" w:rsidP="001B706D">
      <w:pPr>
        <w:spacing w:after="120"/>
        <w:jc w:val="left"/>
      </w:pPr>
      <w:hyperlink r:id="rId10" w:tgtFrame="_blank" w:history="1">
        <w:r w:rsidR="00E72F1F">
          <w:rPr>
            <w:color w:val="0000FF"/>
            <w:u w:val="single"/>
          </w:rPr>
          <w:t>https://members.wto.org/crnattachments/2018/TBT/EEC/18_2120_00_e.pdf</w:t>
        </w:r>
      </w:hyperlink>
    </w:p>
    <w:p w:rsidR="00985FA7" w:rsidRPr="00446FAB" w:rsidRDefault="00107726" w:rsidP="001B706D">
      <w:pPr>
        <w:spacing w:after="120"/>
        <w:jc w:val="left"/>
      </w:pPr>
      <w:hyperlink r:id="rId11" w:tgtFrame="_blank" w:history="1">
        <w:r w:rsidR="00E72F1F">
          <w:rPr>
            <w:color w:val="0000FF"/>
            <w:u w:val="single"/>
          </w:rPr>
          <w:t>https://members.wto.org/crnattachments/2018/TBT/EEC/18_2120_01_e.pdf</w:t>
        </w:r>
      </w:hyperlink>
      <w:bookmarkStart w:id="4" w:name="spsMeasureAddress"/>
      <w:bookmarkEnd w:id="4"/>
    </w:p>
    <w:p w:rsidR="00985FA7" w:rsidRPr="00446FAB" w:rsidRDefault="00E72F1F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E72F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2A" w:rsidRDefault="00E72F1F">
      <w:r>
        <w:separator/>
      </w:r>
    </w:p>
  </w:endnote>
  <w:endnote w:type="continuationSeparator" w:id="0">
    <w:p w:rsidR="0059642A" w:rsidRDefault="00E7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E72F1F" w:rsidRDefault="00E72F1F" w:rsidP="00E72F1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E72F1F" w:rsidRDefault="00E72F1F" w:rsidP="00E72F1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E72F1F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2A" w:rsidRDefault="00E72F1F">
      <w:r>
        <w:separator/>
      </w:r>
    </w:p>
  </w:footnote>
  <w:footnote w:type="continuationSeparator" w:id="0">
    <w:p w:rsidR="0059642A" w:rsidRDefault="00E7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1F" w:rsidRPr="00E72F1F" w:rsidRDefault="00E72F1F" w:rsidP="00E72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E72F1F">
      <w:rPr>
        <w:lang w:val="fr-CH"/>
      </w:rPr>
      <w:t>G/</w:t>
    </w:r>
    <w:proofErr w:type="spellStart"/>
    <w:r w:rsidRPr="00E72F1F">
      <w:rPr>
        <w:lang w:val="fr-CH"/>
      </w:rPr>
      <w:t>TBT</w:t>
    </w:r>
    <w:proofErr w:type="spellEnd"/>
    <w:r w:rsidRPr="00E72F1F">
      <w:rPr>
        <w:lang w:val="fr-CH"/>
      </w:rPr>
      <w:t>/N/EU/527/Add.1</w:t>
    </w:r>
  </w:p>
  <w:p w:rsidR="00E72F1F" w:rsidRPr="00E72F1F" w:rsidRDefault="00E72F1F" w:rsidP="00E72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E72F1F" w:rsidRPr="00E72F1F" w:rsidRDefault="00E72F1F" w:rsidP="00E72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2F1F">
      <w:t xml:space="preserve">- </w:t>
    </w:r>
    <w:r w:rsidRPr="00E72F1F">
      <w:fldChar w:fldCharType="begin"/>
    </w:r>
    <w:r w:rsidRPr="00E72F1F">
      <w:instrText xml:space="preserve"> PAGE </w:instrText>
    </w:r>
    <w:r w:rsidRPr="00E72F1F">
      <w:fldChar w:fldCharType="separate"/>
    </w:r>
    <w:r w:rsidRPr="00E72F1F">
      <w:rPr>
        <w:noProof/>
      </w:rPr>
      <w:t>1</w:t>
    </w:r>
    <w:r w:rsidRPr="00E72F1F">
      <w:fldChar w:fldCharType="end"/>
    </w:r>
    <w:r w:rsidRPr="00E72F1F">
      <w:t xml:space="preserve"> -</w:t>
    </w:r>
  </w:p>
  <w:p w:rsidR="00985FA7" w:rsidRPr="00E72F1F" w:rsidRDefault="00107726" w:rsidP="00E72F1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1F" w:rsidRPr="00E72F1F" w:rsidRDefault="00E72F1F" w:rsidP="00E72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E72F1F">
      <w:rPr>
        <w:lang w:val="fr-CH"/>
      </w:rPr>
      <w:t>G/</w:t>
    </w:r>
    <w:proofErr w:type="spellStart"/>
    <w:r w:rsidRPr="00E72F1F">
      <w:rPr>
        <w:lang w:val="fr-CH"/>
      </w:rPr>
      <w:t>TBT</w:t>
    </w:r>
    <w:proofErr w:type="spellEnd"/>
    <w:r w:rsidRPr="00E72F1F">
      <w:rPr>
        <w:lang w:val="fr-CH"/>
      </w:rPr>
      <w:t>/N/EU/527/Add.1</w:t>
    </w:r>
  </w:p>
  <w:p w:rsidR="00E72F1F" w:rsidRPr="00E72F1F" w:rsidRDefault="00E72F1F" w:rsidP="00E72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E72F1F" w:rsidRPr="00E72F1F" w:rsidRDefault="00E72F1F" w:rsidP="00E72F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2F1F">
      <w:t xml:space="preserve">- </w:t>
    </w:r>
    <w:r w:rsidRPr="00E72F1F">
      <w:fldChar w:fldCharType="begin"/>
    </w:r>
    <w:r w:rsidRPr="00E72F1F">
      <w:instrText xml:space="preserve"> PAGE </w:instrText>
    </w:r>
    <w:r w:rsidRPr="00E72F1F">
      <w:fldChar w:fldCharType="separate"/>
    </w:r>
    <w:r w:rsidRPr="00E72F1F">
      <w:rPr>
        <w:noProof/>
      </w:rPr>
      <w:t>1</w:t>
    </w:r>
    <w:r w:rsidRPr="00E72F1F">
      <w:fldChar w:fldCharType="end"/>
    </w:r>
    <w:r w:rsidRPr="00E72F1F">
      <w:t xml:space="preserve"> -</w:t>
    </w:r>
  </w:p>
  <w:p w:rsidR="00985FA7" w:rsidRPr="00E72F1F" w:rsidRDefault="00107726" w:rsidP="00E72F1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1635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07726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72F1F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951635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087F15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9058C60" wp14:editId="44E71438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07726" w:rsidP="00180C12">
          <w:pPr>
            <w:jc w:val="right"/>
            <w:rPr>
              <w:b/>
              <w:szCs w:val="16"/>
            </w:rPr>
          </w:pPr>
        </w:p>
      </w:tc>
    </w:tr>
    <w:tr w:rsidR="00951635" w:rsidRPr="00107726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07726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72F1F" w:rsidRPr="00E72F1F" w:rsidRDefault="00E72F1F" w:rsidP="00985FA7">
          <w:pPr>
            <w:jc w:val="right"/>
            <w:rPr>
              <w:b/>
              <w:szCs w:val="16"/>
              <w:lang w:val="fr-CH"/>
            </w:rPr>
          </w:pPr>
          <w:bookmarkStart w:id="6" w:name="bmkSymbols"/>
          <w:r w:rsidRPr="00E72F1F">
            <w:rPr>
              <w:b/>
              <w:szCs w:val="16"/>
              <w:lang w:val="fr-CH"/>
            </w:rPr>
            <w:t>G/</w:t>
          </w:r>
          <w:proofErr w:type="spellStart"/>
          <w:r w:rsidRPr="00E72F1F">
            <w:rPr>
              <w:b/>
              <w:szCs w:val="16"/>
              <w:lang w:val="fr-CH"/>
            </w:rPr>
            <w:t>TBT</w:t>
          </w:r>
          <w:proofErr w:type="spellEnd"/>
          <w:r w:rsidRPr="00E72F1F">
            <w:rPr>
              <w:b/>
              <w:szCs w:val="16"/>
              <w:lang w:val="fr-CH"/>
            </w:rPr>
            <w:t>/N/EU/527/Add.1</w:t>
          </w:r>
        </w:p>
        <w:bookmarkEnd w:id="6"/>
        <w:p w:rsidR="00ED54E0" w:rsidRPr="00E72F1F" w:rsidRDefault="00107726" w:rsidP="00985FA7">
          <w:pPr>
            <w:jc w:val="right"/>
            <w:rPr>
              <w:b/>
              <w:szCs w:val="16"/>
              <w:lang w:val="fr-CH"/>
            </w:rPr>
          </w:pPr>
        </w:p>
      </w:tc>
    </w:tr>
    <w:tr w:rsidR="00951635" w:rsidRPr="001B706D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72F1F" w:rsidRDefault="00107726" w:rsidP="00180C12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72F1F" w:rsidRDefault="00C25938" w:rsidP="00180C12">
          <w:pPr>
            <w:jc w:val="right"/>
            <w:rPr>
              <w:szCs w:val="16"/>
              <w:lang w:val="fr-CH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  <w:lang w:val="fr-CH"/>
            </w:rPr>
            <w:t>24 April 2018</w:t>
          </w:r>
        </w:p>
      </w:tc>
    </w:tr>
    <w:tr w:rsidR="00951635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72F1F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C25938">
            <w:rPr>
              <w:color w:val="FF0000"/>
              <w:szCs w:val="16"/>
            </w:rPr>
            <w:t>18-2545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72F1F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0772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0772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951635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E72F1F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E72F1F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107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57661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227E7A" w:tentative="1">
      <w:start w:val="1"/>
      <w:numFmt w:val="lowerLetter"/>
      <w:lvlText w:val="%2."/>
      <w:lvlJc w:val="left"/>
      <w:pPr>
        <w:ind w:left="1080" w:hanging="360"/>
      </w:pPr>
    </w:lvl>
    <w:lvl w:ilvl="2" w:tplc="A6A0B5BC" w:tentative="1">
      <w:start w:val="1"/>
      <w:numFmt w:val="lowerRoman"/>
      <w:lvlText w:val="%3."/>
      <w:lvlJc w:val="right"/>
      <w:pPr>
        <w:ind w:left="1800" w:hanging="180"/>
      </w:pPr>
    </w:lvl>
    <w:lvl w:ilvl="3" w:tplc="9E5E140C" w:tentative="1">
      <w:start w:val="1"/>
      <w:numFmt w:val="decimal"/>
      <w:lvlText w:val="%4."/>
      <w:lvlJc w:val="left"/>
      <w:pPr>
        <w:ind w:left="2520" w:hanging="360"/>
      </w:pPr>
    </w:lvl>
    <w:lvl w:ilvl="4" w:tplc="92E864F2" w:tentative="1">
      <w:start w:val="1"/>
      <w:numFmt w:val="lowerLetter"/>
      <w:lvlText w:val="%5."/>
      <w:lvlJc w:val="left"/>
      <w:pPr>
        <w:ind w:left="3240" w:hanging="360"/>
      </w:pPr>
    </w:lvl>
    <w:lvl w:ilvl="5" w:tplc="2098C9AA" w:tentative="1">
      <w:start w:val="1"/>
      <w:numFmt w:val="lowerRoman"/>
      <w:lvlText w:val="%6."/>
      <w:lvlJc w:val="right"/>
      <w:pPr>
        <w:ind w:left="3960" w:hanging="180"/>
      </w:pPr>
    </w:lvl>
    <w:lvl w:ilvl="6" w:tplc="08D8BDB4" w:tentative="1">
      <w:start w:val="1"/>
      <w:numFmt w:val="decimal"/>
      <w:lvlText w:val="%7."/>
      <w:lvlJc w:val="left"/>
      <w:pPr>
        <w:ind w:left="4680" w:hanging="360"/>
      </w:pPr>
    </w:lvl>
    <w:lvl w:ilvl="7" w:tplc="5AC0E25E" w:tentative="1">
      <w:start w:val="1"/>
      <w:numFmt w:val="lowerLetter"/>
      <w:lvlText w:val="%8."/>
      <w:lvlJc w:val="left"/>
      <w:pPr>
        <w:ind w:left="5400" w:hanging="360"/>
      </w:pPr>
    </w:lvl>
    <w:lvl w:ilvl="8" w:tplc="E5B6F8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35"/>
    <w:rsid w:val="00087F15"/>
    <w:rsid w:val="00107726"/>
    <w:rsid w:val="001B706D"/>
    <w:rsid w:val="0059642A"/>
    <w:rsid w:val="00951635"/>
    <w:rsid w:val="00C25938"/>
    <w:rsid w:val="00E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eenleaves\AppData\Local\Microsoft\Windows\Temporary%20Internet%20Files\Content.IE5\209JCFC9\%3ca%20class='document-link'%20target='_blank'%20href='http:\ec.europa.eu\growth\tools-databases\tbt\'%3ehttp:\ec.europa.eu\growth\tools-databases\tbt\%3c\a%3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18/TBT/EEC/18_2120_01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18/TBT/EEC/18_2120_00_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.europa.eu/growth/tools-databases/tbt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803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2018-04-24T07:23:00Z</cp:lastPrinted>
  <dcterms:created xsi:type="dcterms:W3CDTF">2018-04-23T12:53:00Z</dcterms:created>
  <dcterms:modified xsi:type="dcterms:W3CDTF">2018-04-24T08:06:00Z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G/TBT/N/EU/527/Add.1</vt:lpwstr>
  </property>
</Properties>
</file>