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107C7" w:rsidP="002F6A28">
      <w:pPr>
        <w:pStyle w:val="Titre"/>
        <w:rPr>
          <w:caps w:val="0"/>
          <w:kern w:val="0"/>
        </w:rPr>
      </w:pPr>
      <w:r w:rsidRPr="002F6A28">
        <w:rPr>
          <w:caps w:val="0"/>
          <w:kern w:val="0"/>
        </w:rPr>
        <w:t>NOTIFICATION</w:t>
      </w:r>
    </w:p>
    <w:p w:rsidR="009239F7" w:rsidRPr="002F6A28" w:rsidRDefault="00E107C7" w:rsidP="002F6A28">
      <w:pPr>
        <w:jc w:val="center"/>
      </w:pPr>
      <w:r w:rsidRPr="002F6A28">
        <w:t>The following notification is being circulated in accordance with Article 10.6</w:t>
      </w:r>
    </w:p>
    <w:p w:rsidR="009239F7" w:rsidRPr="002F6A28" w:rsidRDefault="008F6D5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012BE" w:rsidTr="0069259F">
        <w:tc>
          <w:tcPr>
            <w:tcW w:w="713" w:type="dxa"/>
            <w:tcBorders>
              <w:bottom w:val="single" w:sz="6" w:space="0" w:color="auto"/>
            </w:tcBorders>
            <w:shd w:val="clear" w:color="auto" w:fill="auto"/>
          </w:tcPr>
          <w:p w:rsidR="00F85C99" w:rsidRPr="002F6A28" w:rsidRDefault="00E107C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107C7"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E107C7" w:rsidP="002F6A28">
            <w:pPr>
              <w:spacing w:after="120"/>
            </w:pPr>
            <w:r w:rsidRPr="002F6A28">
              <w:rPr>
                <w:b/>
              </w:rPr>
              <w:t>If applicable, name of local government involved (Article 3.2 and 7.2):</w:t>
            </w:r>
            <w:r w:rsidRPr="002F6A28">
              <w:t xml:space="preserve"> </w:t>
            </w:r>
            <w:bookmarkStart w:id="1" w:name="sps1b"/>
            <w:bookmarkEnd w:id="1"/>
          </w:p>
        </w:tc>
      </w:tr>
      <w:tr w:rsidR="00E012BE" w:rsidTr="0069259F">
        <w:tc>
          <w:tcPr>
            <w:tcW w:w="713" w:type="dxa"/>
            <w:tcBorders>
              <w:top w:val="single" w:sz="6" w:space="0" w:color="auto"/>
              <w:bottom w:val="single" w:sz="6" w:space="0" w:color="auto"/>
            </w:tcBorders>
            <w:shd w:val="clear" w:color="auto" w:fill="auto"/>
          </w:tcPr>
          <w:p w:rsidR="00F85C99" w:rsidRPr="002F6A28" w:rsidRDefault="00E107C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107C7" w:rsidP="00E107C7">
            <w:pPr>
              <w:spacing w:before="120" w:after="120"/>
              <w:jc w:val="left"/>
            </w:pPr>
            <w:r w:rsidRPr="002F6A28">
              <w:rPr>
                <w:b/>
              </w:rPr>
              <w:t xml:space="preserve">Agency responsible: </w:t>
            </w:r>
            <w:r>
              <w:t>European Commission</w:t>
            </w:r>
            <w:bookmarkStart w:id="2" w:name="sps2a"/>
            <w:bookmarkEnd w:id="2"/>
          </w:p>
          <w:p w:rsidR="00E107C7" w:rsidRDefault="00E107C7" w:rsidP="00E107C7">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A40767" w:rsidRDefault="00E107C7" w:rsidP="002F6A28">
            <w:pPr>
              <w:rPr>
                <w:lang w:val="fr-FR"/>
              </w:rPr>
            </w:pPr>
            <w:r w:rsidRPr="00A40767">
              <w:rPr>
                <w:lang w:val="fr-FR"/>
              </w:rPr>
              <w:t>European Commission</w:t>
            </w:r>
          </w:p>
          <w:p w:rsidR="00E012BE" w:rsidRPr="00E107C7" w:rsidRDefault="00E107C7">
            <w:pPr>
              <w:rPr>
                <w:lang w:val="fr-CH"/>
              </w:rPr>
            </w:pPr>
            <w:r w:rsidRPr="00E107C7">
              <w:rPr>
                <w:lang w:val="fr-CH"/>
              </w:rPr>
              <w:t>EU-TBT Enquiry Point</w:t>
            </w:r>
          </w:p>
          <w:p w:rsidR="00E012BE" w:rsidRPr="00E107C7" w:rsidRDefault="00E107C7">
            <w:pPr>
              <w:rPr>
                <w:lang w:val="fr-CH"/>
              </w:rPr>
            </w:pPr>
            <w:r w:rsidRPr="00E107C7">
              <w:rPr>
                <w:lang w:val="fr-CH"/>
              </w:rPr>
              <w:t>Fax: +(32) 2 299 80 43</w:t>
            </w:r>
          </w:p>
          <w:p w:rsidR="00E012BE" w:rsidRPr="00A40767" w:rsidRDefault="00E107C7">
            <w:pPr>
              <w:rPr>
                <w:lang w:val="fr-FR"/>
              </w:rPr>
            </w:pPr>
            <w:r w:rsidRPr="00A40767">
              <w:rPr>
                <w:lang w:val="fr-FR"/>
              </w:rPr>
              <w:t xml:space="preserve">E-mail: </w:t>
            </w:r>
            <w:hyperlink r:id="rId7" w:history="1">
              <w:r w:rsidRPr="00A40767">
                <w:rPr>
                  <w:color w:val="0000FF"/>
                  <w:u w:val="single"/>
                  <w:lang w:val="fr-FR"/>
                </w:rPr>
                <w:t>grow-eu-tbt@ec.europa.eu</w:t>
              </w:r>
            </w:hyperlink>
          </w:p>
          <w:p w:rsidR="00E012BE" w:rsidRDefault="00E107C7">
            <w:pPr>
              <w:spacing w:after="120"/>
            </w:pPr>
            <w:r>
              <w:t xml:space="preserve">Website: </w:t>
            </w:r>
            <w:hyperlink r:id="rId8" w:tgtFrame="_blank" w:history="1">
              <w:r>
                <w:rPr>
                  <w:color w:val="0000FF"/>
                  <w:u w:val="single"/>
                </w:rPr>
                <w:t>http://ec.europa.eu/growth/tools-databases/tbt/</w:t>
              </w:r>
            </w:hyperlink>
            <w:bookmarkStart w:id="3" w:name="sps4a"/>
            <w:bookmarkEnd w:id="3"/>
          </w:p>
        </w:tc>
      </w:tr>
      <w:tr w:rsidR="00E012BE" w:rsidTr="0069259F">
        <w:tc>
          <w:tcPr>
            <w:tcW w:w="713" w:type="dxa"/>
            <w:tcBorders>
              <w:top w:val="single" w:sz="6" w:space="0" w:color="auto"/>
              <w:bottom w:val="single" w:sz="6" w:space="0" w:color="auto"/>
            </w:tcBorders>
            <w:shd w:val="clear" w:color="auto" w:fill="auto"/>
          </w:tcPr>
          <w:p w:rsidR="00F85C99" w:rsidRPr="002F6A28" w:rsidRDefault="00E107C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107C7" w:rsidP="002F6A28">
            <w:pPr>
              <w:spacing w:before="120" w:after="120"/>
              <w:rPr>
                <w:b/>
              </w:rPr>
            </w:pPr>
            <w:r w:rsidRPr="002F6A28">
              <w:rPr>
                <w:b/>
              </w:rPr>
              <w:t>Notified under Article 2.9.2 [ </w:t>
            </w:r>
            <w:bookmarkStart w:id="4" w:name="tbt3a"/>
            <w:bookmarkEnd w:id="4"/>
            <w:r w:rsidRPr="002F6A28">
              <w:rPr>
                <w:b/>
              </w:rPr>
              <w:t> ],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E012BE" w:rsidTr="0069259F">
        <w:tc>
          <w:tcPr>
            <w:tcW w:w="713" w:type="dxa"/>
            <w:tcBorders>
              <w:top w:val="single" w:sz="6" w:space="0" w:color="auto"/>
              <w:bottom w:val="single" w:sz="6" w:space="0" w:color="auto"/>
            </w:tcBorders>
            <w:shd w:val="clear" w:color="auto" w:fill="auto"/>
          </w:tcPr>
          <w:p w:rsidR="00F85C99" w:rsidRPr="002F6A28" w:rsidRDefault="00E107C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107C7" w:rsidP="002F6A28">
            <w:pPr>
              <w:spacing w:before="120" w:after="120"/>
            </w:pPr>
            <w:r w:rsidRPr="002F6A28">
              <w:rPr>
                <w:b/>
              </w:rPr>
              <w:t xml:space="preserve">Products covered (HS or CCCN where applicable, otherwise national tariff heading. ICS numbers may be provided in addition, where applicable): </w:t>
            </w:r>
            <w:r>
              <w:t>Food destined to the final consumer</w:t>
            </w:r>
            <w:bookmarkStart w:id="9" w:name="sps3a"/>
            <w:bookmarkEnd w:id="9"/>
          </w:p>
        </w:tc>
      </w:tr>
      <w:tr w:rsidR="00E012BE" w:rsidTr="0069259F">
        <w:tc>
          <w:tcPr>
            <w:tcW w:w="713" w:type="dxa"/>
            <w:tcBorders>
              <w:top w:val="single" w:sz="6" w:space="0" w:color="auto"/>
              <w:bottom w:val="single" w:sz="6" w:space="0" w:color="auto"/>
            </w:tcBorders>
            <w:shd w:val="clear" w:color="auto" w:fill="auto"/>
          </w:tcPr>
          <w:p w:rsidR="00F85C99" w:rsidRPr="002F6A28" w:rsidRDefault="00E107C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107C7" w:rsidP="002F6A28">
            <w:pPr>
              <w:spacing w:before="120" w:after="120"/>
            </w:pPr>
            <w:r w:rsidRPr="002F6A28">
              <w:rPr>
                <w:b/>
              </w:rPr>
              <w:t xml:space="preserve">Title, number of pages and language(s) of the notified document: </w:t>
            </w:r>
            <w:r>
              <w:t>Draft Commission Regulation amending Annex III to Regulation (EC) No 1925/2006 of the European Parliament and of the Council as regards trans fat, other than trans fat naturally occurring in animal fat, in foods intended for the final consumer (4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E012BE" w:rsidTr="0069259F">
        <w:tc>
          <w:tcPr>
            <w:tcW w:w="713" w:type="dxa"/>
            <w:tcBorders>
              <w:top w:val="single" w:sz="6" w:space="0" w:color="auto"/>
              <w:bottom w:val="single" w:sz="6" w:space="0" w:color="auto"/>
            </w:tcBorders>
            <w:shd w:val="clear" w:color="auto" w:fill="auto"/>
          </w:tcPr>
          <w:p w:rsidR="00F85C99" w:rsidRPr="002F6A28" w:rsidRDefault="00E107C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107C7" w:rsidP="002F6A28">
            <w:pPr>
              <w:spacing w:before="120" w:after="120"/>
              <w:rPr>
                <w:b/>
              </w:rPr>
            </w:pPr>
            <w:r w:rsidRPr="002F6A28">
              <w:rPr>
                <w:b/>
              </w:rPr>
              <w:t xml:space="preserve">Description of content: </w:t>
            </w:r>
            <w:r>
              <w:t>This draft Commission Regulation introduces a maximum threshold for the presence of industrially manufactured trans fat in food for the final consumer, in line with recommendations of the World Health Organisation.</w:t>
            </w:r>
            <w:bookmarkStart w:id="13" w:name="sps6a"/>
            <w:bookmarkEnd w:id="13"/>
          </w:p>
        </w:tc>
      </w:tr>
      <w:tr w:rsidR="00E012BE" w:rsidTr="0069259F">
        <w:tc>
          <w:tcPr>
            <w:tcW w:w="713" w:type="dxa"/>
            <w:tcBorders>
              <w:top w:val="single" w:sz="6" w:space="0" w:color="auto"/>
              <w:bottom w:val="single" w:sz="6" w:space="0" w:color="auto"/>
            </w:tcBorders>
            <w:shd w:val="clear" w:color="auto" w:fill="auto"/>
          </w:tcPr>
          <w:p w:rsidR="00F85C99" w:rsidRPr="002F6A28" w:rsidRDefault="00E107C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107C7" w:rsidP="002F6A28">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E012BE" w:rsidTr="0069259F">
        <w:tc>
          <w:tcPr>
            <w:tcW w:w="713" w:type="dxa"/>
            <w:tcBorders>
              <w:top w:val="single" w:sz="6" w:space="0" w:color="auto"/>
              <w:bottom w:val="single" w:sz="6" w:space="0" w:color="auto"/>
            </w:tcBorders>
            <w:shd w:val="clear" w:color="auto" w:fill="auto"/>
          </w:tcPr>
          <w:p w:rsidR="00F85C99" w:rsidRPr="002F6A28" w:rsidRDefault="00E107C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107C7" w:rsidP="00E107C7">
            <w:pPr>
              <w:spacing w:before="120" w:after="120"/>
            </w:pPr>
            <w:r w:rsidRPr="002F6A28">
              <w:rPr>
                <w:b/>
              </w:rPr>
              <w:t>Relevant documents:</w:t>
            </w:r>
            <w:r w:rsidRPr="002F6A28">
              <w:t xml:space="preserve"> </w:t>
            </w:r>
          </w:p>
          <w:p w:rsidR="00F85C99" w:rsidRPr="002F6A28" w:rsidRDefault="00E107C7" w:rsidP="00E107C7">
            <w:pPr>
              <w:pStyle w:val="Paragraphedeliste"/>
              <w:numPr>
                <w:ilvl w:val="0"/>
                <w:numId w:val="16"/>
              </w:numPr>
              <w:spacing w:after="120"/>
            </w:pPr>
            <w:r>
              <w:t xml:space="preserve">WHO: REPLACE, a step-by-step guide for the elimination of industrially-produced trans-fatty acids from the global food supply, released 14 May 2018. </w:t>
            </w:r>
            <w:hyperlink r:id="rId9" w:history="1">
              <w:r w:rsidRPr="00E107C7">
                <w:rPr>
                  <w:color w:val="0000FF"/>
                  <w:u w:val="single"/>
                </w:rPr>
                <w:t>http://www.who.int/nutrition/topics/replace-transfat/</w:t>
              </w:r>
            </w:hyperlink>
          </w:p>
        </w:tc>
      </w:tr>
      <w:tr w:rsidR="00E012BE" w:rsidTr="0069259F">
        <w:tc>
          <w:tcPr>
            <w:tcW w:w="713" w:type="dxa"/>
            <w:tcBorders>
              <w:top w:val="single" w:sz="6" w:space="0" w:color="auto"/>
              <w:bottom w:val="single" w:sz="6" w:space="0" w:color="auto"/>
            </w:tcBorders>
            <w:shd w:val="clear" w:color="auto" w:fill="auto"/>
          </w:tcPr>
          <w:p w:rsidR="00EE3A11" w:rsidRPr="002F6A28" w:rsidRDefault="00E107C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107C7" w:rsidP="00E107C7">
            <w:pPr>
              <w:spacing w:before="120" w:after="120"/>
            </w:pPr>
            <w:r w:rsidRPr="002F6A28">
              <w:rPr>
                <w:b/>
              </w:rPr>
              <w:t xml:space="preserve">Proposed date of adoption: </w:t>
            </w:r>
            <w:bookmarkStart w:id="15" w:name="sps10a"/>
            <w:bookmarkStart w:id="16" w:name="sps10b"/>
            <w:bookmarkEnd w:id="15"/>
            <w:r w:rsidRPr="002F6A28">
              <w:t>Second quarter of 2019</w:t>
            </w:r>
            <w:bookmarkEnd w:id="16"/>
          </w:p>
          <w:p w:rsidR="00EE3A11" w:rsidRPr="002F6A28" w:rsidRDefault="00E107C7" w:rsidP="00E107C7">
            <w:pPr>
              <w:spacing w:after="120"/>
            </w:pPr>
            <w:r w:rsidRPr="002F6A28">
              <w:rPr>
                <w:b/>
              </w:rPr>
              <w:t xml:space="preserve">Proposed date of entry into force: </w:t>
            </w:r>
            <w:bookmarkStart w:id="17" w:name="sps11a"/>
            <w:bookmarkStart w:id="18" w:name="sps11b"/>
            <w:bookmarkEnd w:id="17"/>
            <w:r w:rsidRPr="002F6A28">
              <w:t xml:space="preserve">20 days from publication in the Official Journal of the EU (The provisions shall apply immediately, with transitional arrangements for products not in compliance until 1 April 2020). </w:t>
            </w:r>
            <w:bookmarkEnd w:id="18"/>
          </w:p>
        </w:tc>
      </w:tr>
      <w:tr w:rsidR="00E012BE" w:rsidTr="0069259F">
        <w:tc>
          <w:tcPr>
            <w:tcW w:w="713" w:type="dxa"/>
            <w:tcBorders>
              <w:top w:val="single" w:sz="6" w:space="0" w:color="auto"/>
              <w:bottom w:val="single" w:sz="6" w:space="0" w:color="auto"/>
            </w:tcBorders>
            <w:shd w:val="clear" w:color="auto" w:fill="auto"/>
          </w:tcPr>
          <w:p w:rsidR="00F85C99" w:rsidRPr="002F6A28" w:rsidRDefault="00E107C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107C7" w:rsidP="002F6A28">
            <w:pPr>
              <w:spacing w:before="120" w:after="120"/>
            </w:pPr>
            <w:r w:rsidRPr="002F6A28">
              <w:rPr>
                <w:b/>
              </w:rPr>
              <w:t xml:space="preserve">Final date for comments: </w:t>
            </w:r>
            <w:r>
              <w:t>60 days from notification</w:t>
            </w:r>
            <w:bookmarkStart w:id="19" w:name="sps12a"/>
            <w:bookmarkEnd w:id="19"/>
          </w:p>
        </w:tc>
      </w:tr>
      <w:tr w:rsidR="00E012BE" w:rsidTr="0069259F">
        <w:tc>
          <w:tcPr>
            <w:tcW w:w="713" w:type="dxa"/>
            <w:tcBorders>
              <w:top w:val="single" w:sz="6" w:space="0" w:color="auto"/>
            </w:tcBorders>
            <w:shd w:val="clear" w:color="auto" w:fill="auto"/>
          </w:tcPr>
          <w:p w:rsidR="00F85C99" w:rsidRPr="002F6A28" w:rsidRDefault="00E107C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E107C7"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A40767" w:rsidRDefault="00E107C7" w:rsidP="00E969D2">
            <w:pPr>
              <w:keepNext/>
              <w:keepLines/>
              <w:spacing w:after="120"/>
              <w:jc w:val="left"/>
              <w:rPr>
                <w:color w:val="0000FF"/>
                <w:u w:val="single"/>
              </w:rPr>
            </w:pPr>
            <w:r>
              <w:t>European Commission</w:t>
            </w:r>
            <w:r>
              <w:br/>
              <w:t>EU-TBT Enquiry Point</w:t>
            </w:r>
            <w:r>
              <w:br/>
              <w:t>Fax: + (32) 2 299 80 43</w:t>
            </w:r>
            <w:r>
              <w:br/>
              <w:t xml:space="preserve">E-mail: </w:t>
            </w:r>
            <w:hyperlink r:id="rId10" w:history="1">
              <w:r>
                <w:rPr>
                  <w:color w:val="0000FF"/>
                  <w:u w:val="single"/>
                </w:rPr>
                <w:t>grow-eu-tbt@ec.europa.eu</w:t>
              </w:r>
            </w:hyperlink>
          </w:p>
          <w:p w:rsidR="00A40767" w:rsidRDefault="00E107C7" w:rsidP="00E969D2">
            <w:pPr>
              <w:keepNext/>
              <w:keepLines/>
              <w:spacing w:after="120"/>
              <w:jc w:val="left"/>
            </w:pPr>
            <w:r>
              <w:t xml:space="preserve">The text is available on the EU-TBT Website: </w:t>
            </w:r>
          </w:p>
          <w:p w:rsidR="00A40767" w:rsidRDefault="008F6D56" w:rsidP="00E969D2">
            <w:pPr>
              <w:keepNext/>
              <w:keepLines/>
              <w:spacing w:after="120"/>
              <w:jc w:val="left"/>
              <w:rPr>
                <w:color w:val="0000FF"/>
                <w:u w:val="single"/>
              </w:rPr>
            </w:pPr>
            <w:hyperlink r:id="rId11" w:tgtFrame="_blank" w:history="1">
              <w:r w:rsidR="00E107C7">
                <w:rPr>
                  <w:color w:val="0000FF"/>
                  <w:u w:val="single"/>
                </w:rPr>
                <w:t>http://ec.europa.eu/growth/tools-databases/tbt/</w:t>
              </w:r>
            </w:hyperlink>
          </w:p>
          <w:p w:rsidR="00F85C99" w:rsidRPr="002F6A28" w:rsidRDefault="008F6D56" w:rsidP="00E969D2">
            <w:pPr>
              <w:keepNext/>
              <w:keepLines/>
              <w:spacing w:after="120"/>
              <w:jc w:val="left"/>
            </w:pPr>
            <w:hyperlink r:id="rId12" w:tgtFrame="_blank" w:history="1">
              <w:r w:rsidR="00E107C7">
                <w:rPr>
                  <w:color w:val="0000FF"/>
                  <w:u w:val="single"/>
                </w:rPr>
                <w:t>https://members.wto.org/crnattachments/2018/TBT/EEC/18_5172_00_e.pdf</w:t>
              </w:r>
            </w:hyperlink>
            <w:bookmarkStart w:id="21" w:name="sps13c"/>
            <w:bookmarkEnd w:id="21"/>
          </w:p>
        </w:tc>
      </w:tr>
    </w:tbl>
    <w:p w:rsidR="00EE3A11" w:rsidRPr="002F6A28" w:rsidRDefault="008F6D56" w:rsidP="002F6A28"/>
    <w:sectPr w:rsidR="00EE3A11" w:rsidRPr="002F6A28" w:rsidSect="00E107C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B77" w:rsidRDefault="00E107C7">
      <w:r>
        <w:separator/>
      </w:r>
    </w:p>
  </w:endnote>
  <w:endnote w:type="continuationSeparator" w:id="0">
    <w:p w:rsidR="00E77B77" w:rsidRDefault="00E1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107C7" w:rsidRDefault="00E107C7" w:rsidP="00E107C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107C7" w:rsidRDefault="00E107C7" w:rsidP="00E107C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107C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B77" w:rsidRDefault="00E107C7">
      <w:r>
        <w:separator/>
      </w:r>
    </w:p>
  </w:footnote>
  <w:footnote w:type="continuationSeparator" w:id="0">
    <w:p w:rsidR="00E77B77" w:rsidRDefault="00E10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7C7" w:rsidRPr="00E107C7" w:rsidRDefault="00E107C7" w:rsidP="00E107C7">
    <w:pPr>
      <w:pStyle w:val="En-tte"/>
      <w:pBdr>
        <w:bottom w:val="single" w:sz="4" w:space="1" w:color="auto"/>
      </w:pBdr>
      <w:tabs>
        <w:tab w:val="clear" w:pos="4513"/>
        <w:tab w:val="clear" w:pos="9027"/>
      </w:tabs>
      <w:jc w:val="center"/>
    </w:pPr>
    <w:r w:rsidRPr="00E107C7">
      <w:t>G/TBT/N/EU/602</w:t>
    </w:r>
  </w:p>
  <w:p w:rsidR="00E107C7" w:rsidRPr="00E107C7" w:rsidRDefault="00E107C7" w:rsidP="00E107C7">
    <w:pPr>
      <w:pStyle w:val="En-tte"/>
      <w:pBdr>
        <w:bottom w:val="single" w:sz="4" w:space="1" w:color="auto"/>
      </w:pBdr>
      <w:tabs>
        <w:tab w:val="clear" w:pos="4513"/>
        <w:tab w:val="clear" w:pos="9027"/>
      </w:tabs>
      <w:jc w:val="center"/>
    </w:pPr>
  </w:p>
  <w:p w:rsidR="00E107C7" w:rsidRPr="00E107C7" w:rsidRDefault="00E107C7" w:rsidP="00E107C7">
    <w:pPr>
      <w:pStyle w:val="En-tte"/>
      <w:pBdr>
        <w:bottom w:val="single" w:sz="4" w:space="1" w:color="auto"/>
      </w:pBdr>
      <w:tabs>
        <w:tab w:val="clear" w:pos="4513"/>
        <w:tab w:val="clear" w:pos="9027"/>
      </w:tabs>
      <w:jc w:val="center"/>
    </w:pPr>
    <w:r w:rsidRPr="00E107C7">
      <w:t xml:space="preserve">- </w:t>
    </w:r>
    <w:r w:rsidRPr="00E107C7">
      <w:fldChar w:fldCharType="begin"/>
    </w:r>
    <w:r w:rsidRPr="00E107C7">
      <w:instrText xml:space="preserve"> PAGE </w:instrText>
    </w:r>
    <w:r w:rsidRPr="00E107C7">
      <w:fldChar w:fldCharType="separate"/>
    </w:r>
    <w:r w:rsidR="008F6D56">
      <w:rPr>
        <w:noProof/>
      </w:rPr>
      <w:t>2</w:t>
    </w:r>
    <w:r w:rsidRPr="00E107C7">
      <w:fldChar w:fldCharType="end"/>
    </w:r>
    <w:r w:rsidRPr="00E107C7">
      <w:t xml:space="preserve"> -</w:t>
    </w:r>
  </w:p>
  <w:p w:rsidR="009239F7" w:rsidRPr="00E107C7" w:rsidRDefault="008F6D56" w:rsidP="00E107C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7C7" w:rsidRPr="00E107C7" w:rsidRDefault="00E107C7" w:rsidP="00E107C7">
    <w:pPr>
      <w:pStyle w:val="En-tte"/>
      <w:pBdr>
        <w:bottom w:val="single" w:sz="4" w:space="1" w:color="auto"/>
      </w:pBdr>
      <w:tabs>
        <w:tab w:val="clear" w:pos="4513"/>
        <w:tab w:val="clear" w:pos="9027"/>
      </w:tabs>
      <w:jc w:val="center"/>
    </w:pPr>
    <w:r w:rsidRPr="00E107C7">
      <w:t>G/TBT/N/EU/602</w:t>
    </w:r>
  </w:p>
  <w:p w:rsidR="00E107C7" w:rsidRPr="00E107C7" w:rsidRDefault="00E107C7" w:rsidP="00E107C7">
    <w:pPr>
      <w:pStyle w:val="En-tte"/>
      <w:pBdr>
        <w:bottom w:val="single" w:sz="4" w:space="1" w:color="auto"/>
      </w:pBdr>
      <w:tabs>
        <w:tab w:val="clear" w:pos="4513"/>
        <w:tab w:val="clear" w:pos="9027"/>
      </w:tabs>
      <w:jc w:val="center"/>
    </w:pPr>
  </w:p>
  <w:p w:rsidR="00E107C7" w:rsidRPr="00E107C7" w:rsidRDefault="00E107C7" w:rsidP="00E107C7">
    <w:pPr>
      <w:pStyle w:val="En-tte"/>
      <w:pBdr>
        <w:bottom w:val="single" w:sz="4" w:space="1" w:color="auto"/>
      </w:pBdr>
      <w:tabs>
        <w:tab w:val="clear" w:pos="4513"/>
        <w:tab w:val="clear" w:pos="9027"/>
      </w:tabs>
      <w:jc w:val="center"/>
    </w:pPr>
    <w:r w:rsidRPr="00E107C7">
      <w:t xml:space="preserve">- </w:t>
    </w:r>
    <w:r w:rsidRPr="00E107C7">
      <w:fldChar w:fldCharType="begin"/>
    </w:r>
    <w:r w:rsidRPr="00E107C7">
      <w:instrText xml:space="preserve"> PAGE </w:instrText>
    </w:r>
    <w:r w:rsidRPr="00E107C7">
      <w:fldChar w:fldCharType="separate"/>
    </w:r>
    <w:r w:rsidRPr="00E107C7">
      <w:rPr>
        <w:noProof/>
      </w:rPr>
      <w:t>2</w:t>
    </w:r>
    <w:r w:rsidRPr="00E107C7">
      <w:fldChar w:fldCharType="end"/>
    </w:r>
    <w:r w:rsidRPr="00E107C7">
      <w:t xml:space="preserve"> -</w:t>
    </w:r>
  </w:p>
  <w:p w:rsidR="009239F7" w:rsidRPr="00E107C7" w:rsidRDefault="008F6D56" w:rsidP="00E107C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12BE" w:rsidTr="008612A9">
      <w:trPr>
        <w:trHeight w:val="240"/>
        <w:jc w:val="center"/>
      </w:trPr>
      <w:tc>
        <w:tcPr>
          <w:tcW w:w="3794" w:type="dxa"/>
          <w:shd w:val="clear" w:color="auto" w:fill="FFFFFF"/>
          <w:tcMar>
            <w:left w:w="108" w:type="dxa"/>
            <w:right w:w="108" w:type="dxa"/>
          </w:tcMar>
          <w:vAlign w:val="center"/>
        </w:tcPr>
        <w:p w:rsidR="00ED54E0" w:rsidRPr="009239F7" w:rsidRDefault="008F6D56"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E107C7" w:rsidP="00B801E9">
          <w:pPr>
            <w:jc w:val="right"/>
            <w:rPr>
              <w:b/>
              <w:color w:val="FF0000"/>
              <w:szCs w:val="16"/>
            </w:rPr>
          </w:pPr>
          <w:r>
            <w:rPr>
              <w:b/>
              <w:color w:val="FF0000"/>
              <w:szCs w:val="16"/>
            </w:rPr>
            <w:t xml:space="preserve"> </w:t>
          </w:r>
        </w:p>
      </w:tc>
    </w:tr>
    <w:bookmarkEnd w:id="22"/>
    <w:tr w:rsidR="00E012BE" w:rsidTr="008612A9">
      <w:trPr>
        <w:trHeight w:val="213"/>
        <w:jc w:val="center"/>
      </w:trPr>
      <w:tc>
        <w:tcPr>
          <w:tcW w:w="3794" w:type="dxa"/>
          <w:vMerge w:val="restart"/>
          <w:shd w:val="clear" w:color="auto" w:fill="FFFFFF"/>
          <w:tcMar>
            <w:left w:w="0" w:type="dxa"/>
            <w:right w:w="0" w:type="dxa"/>
          </w:tcMar>
        </w:tcPr>
        <w:p w:rsidR="00ED54E0" w:rsidRPr="009239F7" w:rsidRDefault="00F54E59" w:rsidP="00B801E9">
          <w:pPr>
            <w:jc w:val="left"/>
          </w:pPr>
          <w:r>
            <w:rPr>
              <w:noProof/>
              <w:lang w:val="en-US"/>
            </w:rPr>
            <w:drawing>
              <wp:inline distT="0" distB="0" distL="0" distR="0" wp14:anchorId="50A1F933" wp14:editId="70E2087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F6D56" w:rsidP="00B801E9">
          <w:pPr>
            <w:jc w:val="right"/>
            <w:rPr>
              <w:b/>
              <w:szCs w:val="16"/>
            </w:rPr>
          </w:pPr>
        </w:p>
      </w:tc>
    </w:tr>
    <w:tr w:rsidR="00E012BE" w:rsidTr="008612A9">
      <w:trPr>
        <w:trHeight w:val="868"/>
        <w:jc w:val="center"/>
      </w:trPr>
      <w:tc>
        <w:tcPr>
          <w:tcW w:w="3794" w:type="dxa"/>
          <w:vMerge/>
          <w:shd w:val="clear" w:color="auto" w:fill="FFFFFF"/>
          <w:tcMar>
            <w:left w:w="108" w:type="dxa"/>
            <w:right w:w="108" w:type="dxa"/>
          </w:tcMar>
        </w:tcPr>
        <w:p w:rsidR="00ED54E0" w:rsidRPr="009239F7" w:rsidRDefault="008F6D56" w:rsidP="00B801E9">
          <w:pPr>
            <w:jc w:val="left"/>
            <w:rPr>
              <w:noProof/>
              <w:lang w:eastAsia="en-GB"/>
            </w:rPr>
          </w:pPr>
        </w:p>
      </w:tc>
      <w:tc>
        <w:tcPr>
          <w:tcW w:w="5448" w:type="dxa"/>
          <w:gridSpan w:val="2"/>
          <w:shd w:val="clear" w:color="auto" w:fill="FFFFFF"/>
          <w:tcMar>
            <w:left w:w="108" w:type="dxa"/>
            <w:right w:w="108" w:type="dxa"/>
          </w:tcMar>
        </w:tcPr>
        <w:p w:rsidR="00E107C7" w:rsidRDefault="00E107C7" w:rsidP="00B801E9">
          <w:pPr>
            <w:jc w:val="right"/>
            <w:rPr>
              <w:b/>
              <w:szCs w:val="16"/>
            </w:rPr>
          </w:pPr>
          <w:bookmarkStart w:id="23" w:name="bmkSymbols"/>
          <w:r>
            <w:rPr>
              <w:b/>
              <w:szCs w:val="16"/>
            </w:rPr>
            <w:t>G/TBT/N/EU/602</w:t>
          </w:r>
        </w:p>
        <w:bookmarkEnd w:id="23"/>
        <w:p w:rsidR="00ED54E0" w:rsidRPr="009239F7" w:rsidRDefault="008F6D56" w:rsidP="00B801E9">
          <w:pPr>
            <w:jc w:val="right"/>
            <w:rPr>
              <w:b/>
              <w:szCs w:val="16"/>
            </w:rPr>
          </w:pPr>
        </w:p>
      </w:tc>
    </w:tr>
    <w:tr w:rsidR="00E012BE" w:rsidTr="008612A9">
      <w:trPr>
        <w:trHeight w:val="240"/>
        <w:jc w:val="center"/>
      </w:trPr>
      <w:tc>
        <w:tcPr>
          <w:tcW w:w="3794" w:type="dxa"/>
          <w:vMerge/>
          <w:shd w:val="clear" w:color="auto" w:fill="FFFFFF"/>
          <w:tcMar>
            <w:left w:w="108" w:type="dxa"/>
            <w:right w:w="108" w:type="dxa"/>
          </w:tcMar>
          <w:vAlign w:val="center"/>
        </w:tcPr>
        <w:p w:rsidR="00ED54E0" w:rsidRPr="009239F7" w:rsidRDefault="008F6D56" w:rsidP="00B801E9"/>
      </w:tc>
      <w:tc>
        <w:tcPr>
          <w:tcW w:w="5448" w:type="dxa"/>
          <w:gridSpan w:val="2"/>
          <w:shd w:val="clear" w:color="auto" w:fill="FFFFFF"/>
          <w:tcMar>
            <w:left w:w="108" w:type="dxa"/>
            <w:right w:w="108" w:type="dxa"/>
          </w:tcMar>
          <w:vAlign w:val="center"/>
        </w:tcPr>
        <w:p w:rsidR="00ED54E0" w:rsidRPr="009239F7" w:rsidRDefault="008F6D56" w:rsidP="00B801E9">
          <w:pPr>
            <w:jc w:val="right"/>
            <w:rPr>
              <w:szCs w:val="16"/>
            </w:rPr>
          </w:pPr>
          <w:bookmarkStart w:id="24" w:name="spsDateDistribution"/>
          <w:bookmarkStart w:id="25" w:name="bmkDate"/>
          <w:bookmarkEnd w:id="24"/>
          <w:bookmarkEnd w:id="25"/>
          <w:r>
            <w:rPr>
              <w:szCs w:val="16"/>
            </w:rPr>
            <w:t>3 October 2018</w:t>
          </w:r>
          <w:bookmarkStart w:id="26" w:name="_GoBack"/>
          <w:bookmarkEnd w:id="26"/>
        </w:p>
      </w:tc>
    </w:tr>
    <w:tr w:rsidR="00E012B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107C7" w:rsidP="0097650D">
          <w:pPr>
            <w:jc w:val="left"/>
            <w:rPr>
              <w:b/>
            </w:rPr>
          </w:pPr>
          <w:bookmarkStart w:id="27" w:name="bmkSerial"/>
          <w:r w:rsidRPr="002F6A28">
            <w:rPr>
              <w:color w:val="FF0000"/>
              <w:szCs w:val="16"/>
            </w:rPr>
            <w:t>(</w:t>
          </w:r>
          <w:bookmarkStart w:id="28" w:name="spsSerialNumber"/>
          <w:bookmarkEnd w:id="28"/>
          <w:r w:rsidR="008F6D56">
            <w:rPr>
              <w:color w:val="FF0000"/>
              <w:szCs w:val="16"/>
            </w:rPr>
            <w:t>18-6095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E107C7"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F6D5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F6D56">
            <w:rPr>
              <w:bCs/>
              <w:noProof/>
              <w:szCs w:val="16"/>
            </w:rPr>
            <w:t>2</w:t>
          </w:r>
          <w:r w:rsidRPr="002F6A28">
            <w:rPr>
              <w:bCs/>
              <w:szCs w:val="16"/>
            </w:rPr>
            <w:fldChar w:fldCharType="end"/>
          </w:r>
          <w:bookmarkEnd w:id="29"/>
        </w:p>
      </w:tc>
    </w:tr>
    <w:tr w:rsidR="00E012B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107C7"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E107C7" w:rsidP="00B801E9">
          <w:pPr>
            <w:jc w:val="right"/>
            <w:rPr>
              <w:bCs/>
              <w:szCs w:val="18"/>
            </w:rPr>
          </w:pPr>
          <w:bookmarkStart w:id="31" w:name="bmkLanguage"/>
          <w:r>
            <w:rPr>
              <w:bCs/>
              <w:szCs w:val="18"/>
            </w:rPr>
            <w:t>Original: English</w:t>
          </w:r>
          <w:bookmarkEnd w:id="31"/>
        </w:p>
      </w:tc>
    </w:tr>
  </w:tbl>
  <w:p w:rsidR="00ED54E0" w:rsidRPr="002F6A28" w:rsidRDefault="008F6D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AC0D2A"/>
    <w:multiLevelType w:val="hybridMultilevel"/>
    <w:tmpl w:val="487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E2AEABBC">
      <w:start w:val="1"/>
      <w:numFmt w:val="decimal"/>
      <w:pStyle w:val="SummaryText"/>
      <w:lvlText w:val="%1."/>
      <w:lvlJc w:val="left"/>
      <w:pPr>
        <w:ind w:left="360" w:hanging="360"/>
      </w:pPr>
    </w:lvl>
    <w:lvl w:ilvl="1" w:tplc="C45ECD52" w:tentative="1">
      <w:start w:val="1"/>
      <w:numFmt w:val="lowerLetter"/>
      <w:lvlText w:val="%2."/>
      <w:lvlJc w:val="left"/>
      <w:pPr>
        <w:ind w:left="1080" w:hanging="360"/>
      </w:pPr>
    </w:lvl>
    <w:lvl w:ilvl="2" w:tplc="774077B4" w:tentative="1">
      <w:start w:val="1"/>
      <w:numFmt w:val="lowerRoman"/>
      <w:lvlText w:val="%3."/>
      <w:lvlJc w:val="right"/>
      <w:pPr>
        <w:ind w:left="1800" w:hanging="180"/>
      </w:pPr>
    </w:lvl>
    <w:lvl w:ilvl="3" w:tplc="994214B0" w:tentative="1">
      <w:start w:val="1"/>
      <w:numFmt w:val="decimal"/>
      <w:lvlText w:val="%4."/>
      <w:lvlJc w:val="left"/>
      <w:pPr>
        <w:ind w:left="2520" w:hanging="360"/>
      </w:pPr>
    </w:lvl>
    <w:lvl w:ilvl="4" w:tplc="283856EC" w:tentative="1">
      <w:start w:val="1"/>
      <w:numFmt w:val="lowerLetter"/>
      <w:lvlText w:val="%5."/>
      <w:lvlJc w:val="left"/>
      <w:pPr>
        <w:ind w:left="3240" w:hanging="360"/>
      </w:pPr>
    </w:lvl>
    <w:lvl w:ilvl="5" w:tplc="037C2428" w:tentative="1">
      <w:start w:val="1"/>
      <w:numFmt w:val="lowerRoman"/>
      <w:lvlText w:val="%6."/>
      <w:lvlJc w:val="right"/>
      <w:pPr>
        <w:ind w:left="3960" w:hanging="180"/>
      </w:pPr>
    </w:lvl>
    <w:lvl w:ilvl="6" w:tplc="69729BE0" w:tentative="1">
      <w:start w:val="1"/>
      <w:numFmt w:val="decimal"/>
      <w:lvlText w:val="%7."/>
      <w:lvlJc w:val="left"/>
      <w:pPr>
        <w:ind w:left="4680" w:hanging="360"/>
      </w:pPr>
    </w:lvl>
    <w:lvl w:ilvl="7" w:tplc="79F8A9A2" w:tentative="1">
      <w:start w:val="1"/>
      <w:numFmt w:val="lowerLetter"/>
      <w:lvlText w:val="%8."/>
      <w:lvlJc w:val="left"/>
      <w:pPr>
        <w:ind w:left="5400" w:hanging="360"/>
      </w:pPr>
    </w:lvl>
    <w:lvl w:ilvl="8" w:tplc="1E68D4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BE"/>
    <w:rsid w:val="008F6D56"/>
    <w:rsid w:val="00A40767"/>
    <w:rsid w:val="00E012BE"/>
    <w:rsid w:val="00E107C7"/>
    <w:rsid w:val="00E77B77"/>
    <w:rsid w:val="00F5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AC497"/>
  <w15:docId w15:val="{CFBECE3D-0441-4555-9FC8-2107ACDA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18/TBT/EEC/18_5172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row-eu-tbt@ec.europa.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o.int/nutrition/topics/replace-transfa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2018-10-03T09:23:00Z</dcterms:created>
  <dcterms:modified xsi:type="dcterms:W3CDTF">2018-10-03T12:21:00Z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G/TBT/N/EU/602</vt:lpwstr>
  </property>
</Properties>
</file>