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21091" w:rsidP="002F6A28">
      <w:pPr>
        <w:pStyle w:val="Titre"/>
        <w:rPr>
          <w:caps w:val="0"/>
          <w:kern w:val="0"/>
        </w:rPr>
      </w:pPr>
      <w:r w:rsidRPr="002F6A28">
        <w:rPr>
          <w:caps w:val="0"/>
          <w:kern w:val="0"/>
        </w:rPr>
        <w:t>NOTIFICATION</w:t>
      </w:r>
    </w:p>
    <w:p w:rsidR="009239F7" w:rsidRPr="002F6A28" w:rsidRDefault="00B21091" w:rsidP="002F6A28">
      <w:pPr>
        <w:jc w:val="center"/>
      </w:pPr>
      <w:r w:rsidRPr="002F6A28">
        <w:t>The following notification is being circulated in accordance with Article 10.6</w:t>
      </w:r>
    </w:p>
    <w:p w:rsidR="009239F7" w:rsidRPr="002F6A28" w:rsidRDefault="00487F0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9192E" w:rsidTr="0069259F">
        <w:tc>
          <w:tcPr>
            <w:tcW w:w="713" w:type="dxa"/>
            <w:tcBorders>
              <w:bottom w:val="single" w:sz="6" w:space="0" w:color="auto"/>
            </w:tcBorders>
            <w:shd w:val="clear" w:color="auto" w:fill="auto"/>
          </w:tcPr>
          <w:p w:rsidR="00F85C99" w:rsidRPr="002F6A28" w:rsidRDefault="00B2109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21091"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B21091" w:rsidP="002F6A28">
            <w:pPr>
              <w:spacing w:after="120"/>
            </w:pPr>
            <w:r w:rsidRPr="002F6A28">
              <w:rPr>
                <w:b/>
              </w:rPr>
              <w:t>If applicable, name of local government involved (Article 3.2 and 7.2):</w:t>
            </w:r>
            <w:r w:rsidRPr="002F6A28">
              <w:t xml:space="preserve"> </w:t>
            </w:r>
            <w:bookmarkStart w:id="1" w:name="sps1b"/>
            <w:bookmarkEnd w:id="1"/>
          </w:p>
        </w:tc>
      </w:tr>
      <w:tr w:rsidR="00E9192E" w:rsidTr="0069259F">
        <w:tc>
          <w:tcPr>
            <w:tcW w:w="713" w:type="dxa"/>
            <w:tcBorders>
              <w:top w:val="single" w:sz="6" w:space="0" w:color="auto"/>
              <w:bottom w:val="single" w:sz="6" w:space="0" w:color="auto"/>
            </w:tcBorders>
            <w:shd w:val="clear" w:color="auto" w:fill="auto"/>
          </w:tcPr>
          <w:p w:rsidR="00F85C99" w:rsidRPr="002F6A28" w:rsidRDefault="00B2109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21091" w:rsidP="00B21091">
            <w:pPr>
              <w:spacing w:before="120" w:after="120"/>
              <w:jc w:val="left"/>
            </w:pPr>
            <w:r w:rsidRPr="002F6A28">
              <w:rPr>
                <w:b/>
              </w:rPr>
              <w:t xml:space="preserve">Agency responsible: </w:t>
            </w:r>
            <w:r>
              <w:t>European Commission</w:t>
            </w:r>
            <w:bookmarkStart w:id="2" w:name="sps2a"/>
            <w:bookmarkEnd w:id="2"/>
          </w:p>
          <w:p w:rsidR="00B21091" w:rsidRDefault="00B21091" w:rsidP="00B2109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8C7314" w:rsidRDefault="00B21091" w:rsidP="002F6A28">
            <w:pPr>
              <w:rPr>
                <w:lang w:val="fr-FR"/>
              </w:rPr>
            </w:pPr>
            <w:proofErr w:type="spellStart"/>
            <w:r w:rsidRPr="008C7314">
              <w:rPr>
                <w:lang w:val="fr-FR"/>
              </w:rPr>
              <w:t>European</w:t>
            </w:r>
            <w:proofErr w:type="spellEnd"/>
            <w:r w:rsidRPr="008C7314">
              <w:rPr>
                <w:lang w:val="fr-FR"/>
              </w:rPr>
              <w:t xml:space="preserve"> Commission</w:t>
            </w:r>
          </w:p>
          <w:p w:rsidR="00E9192E" w:rsidRPr="00B21091" w:rsidRDefault="00B21091">
            <w:pPr>
              <w:rPr>
                <w:lang w:val="fr-CH"/>
              </w:rPr>
            </w:pPr>
            <w:r w:rsidRPr="00B21091">
              <w:rPr>
                <w:lang w:val="fr-CH"/>
              </w:rPr>
              <w:t>EU-</w:t>
            </w:r>
            <w:proofErr w:type="spellStart"/>
            <w:r w:rsidRPr="00B21091">
              <w:rPr>
                <w:lang w:val="fr-CH"/>
              </w:rPr>
              <w:t>TBT</w:t>
            </w:r>
            <w:proofErr w:type="spellEnd"/>
            <w:r w:rsidRPr="00B21091">
              <w:rPr>
                <w:lang w:val="fr-CH"/>
              </w:rPr>
              <w:t xml:space="preserve"> </w:t>
            </w:r>
            <w:proofErr w:type="spellStart"/>
            <w:r w:rsidRPr="00B21091">
              <w:rPr>
                <w:lang w:val="fr-CH"/>
              </w:rPr>
              <w:t>Enquiry</w:t>
            </w:r>
            <w:proofErr w:type="spellEnd"/>
            <w:r w:rsidRPr="00B21091">
              <w:rPr>
                <w:lang w:val="fr-CH"/>
              </w:rPr>
              <w:t xml:space="preserve"> Point</w:t>
            </w:r>
          </w:p>
          <w:p w:rsidR="00E9192E" w:rsidRPr="00B21091" w:rsidRDefault="00B21091">
            <w:pPr>
              <w:rPr>
                <w:lang w:val="fr-CH"/>
              </w:rPr>
            </w:pPr>
            <w:proofErr w:type="gramStart"/>
            <w:r w:rsidRPr="00B21091">
              <w:rPr>
                <w:lang w:val="fr-CH"/>
              </w:rPr>
              <w:t>Fax:</w:t>
            </w:r>
            <w:proofErr w:type="gramEnd"/>
            <w:r w:rsidRPr="00B21091">
              <w:rPr>
                <w:lang w:val="fr-CH"/>
              </w:rPr>
              <w:t xml:space="preserve"> +(32) 2 299 80 43</w:t>
            </w:r>
          </w:p>
          <w:p w:rsidR="00E9192E" w:rsidRPr="008C7314" w:rsidRDefault="00B21091">
            <w:pPr>
              <w:rPr>
                <w:lang w:val="fr-FR"/>
              </w:rPr>
            </w:pPr>
            <w:proofErr w:type="gramStart"/>
            <w:r w:rsidRPr="008C7314">
              <w:rPr>
                <w:lang w:val="fr-FR"/>
              </w:rPr>
              <w:t>E-mail:</w:t>
            </w:r>
            <w:proofErr w:type="gramEnd"/>
            <w:r w:rsidRPr="008C7314">
              <w:rPr>
                <w:lang w:val="fr-FR"/>
              </w:rPr>
              <w:t xml:space="preserve"> </w:t>
            </w:r>
            <w:r w:rsidR="00487F0D">
              <w:fldChar w:fldCharType="begin"/>
            </w:r>
            <w:r w:rsidR="00487F0D" w:rsidRPr="00487F0D">
              <w:rPr>
                <w:lang w:val="fr-FR"/>
              </w:rPr>
              <w:instrText xml:space="preserve"> HYPERLINK "mailto:grow-eu-tbt@ec.europa.eu" </w:instrText>
            </w:r>
            <w:r w:rsidR="00487F0D">
              <w:fldChar w:fldCharType="separate"/>
            </w:r>
            <w:r w:rsidRPr="008C7314">
              <w:rPr>
                <w:color w:val="0000FF"/>
                <w:u w:val="single"/>
                <w:lang w:val="fr-FR"/>
              </w:rPr>
              <w:t>grow-eu-tbt@ec.europa.eu</w:t>
            </w:r>
            <w:r w:rsidR="00487F0D">
              <w:rPr>
                <w:color w:val="0000FF"/>
                <w:u w:val="single"/>
                <w:lang w:val="fr-FR"/>
              </w:rPr>
              <w:fldChar w:fldCharType="end"/>
            </w:r>
          </w:p>
          <w:p w:rsidR="00E9192E" w:rsidRDefault="00B21091">
            <w:pPr>
              <w:spacing w:after="120"/>
            </w:pPr>
            <w:r>
              <w:t xml:space="preserve">Website: </w:t>
            </w:r>
            <w:hyperlink r:id="rId7" w:tgtFrame="_blank" w:history="1">
              <w:r>
                <w:rPr>
                  <w:color w:val="0000FF"/>
                  <w:u w:val="single"/>
                </w:rPr>
                <w:t>http://ec.europa.eu/growth/tools-databases/tbt/en/</w:t>
              </w:r>
            </w:hyperlink>
            <w:bookmarkStart w:id="3" w:name="sps4a"/>
            <w:bookmarkEnd w:id="3"/>
          </w:p>
        </w:tc>
      </w:tr>
      <w:tr w:rsidR="00E9192E" w:rsidTr="0069259F">
        <w:tc>
          <w:tcPr>
            <w:tcW w:w="713" w:type="dxa"/>
            <w:tcBorders>
              <w:top w:val="single" w:sz="6" w:space="0" w:color="auto"/>
              <w:bottom w:val="single" w:sz="6" w:space="0" w:color="auto"/>
            </w:tcBorders>
            <w:shd w:val="clear" w:color="auto" w:fill="auto"/>
          </w:tcPr>
          <w:p w:rsidR="00F85C99" w:rsidRPr="002F6A28" w:rsidRDefault="00B2109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21091" w:rsidP="002F6A28">
            <w:pPr>
              <w:spacing w:before="120" w:after="120"/>
              <w:rPr>
                <w:b/>
              </w:rPr>
            </w:pPr>
            <w:r w:rsidRPr="002F6A28">
              <w:rPr>
                <w:b/>
              </w:rPr>
              <w:t xml:space="preserve">Notified under Article 2.9.2 </w:t>
            </w:r>
            <w:proofErr w:type="gramStart"/>
            <w:r w:rsidRPr="002F6A28">
              <w:rPr>
                <w:b/>
              </w:rPr>
              <w:t>[ </w:t>
            </w:r>
            <w:bookmarkStart w:id="4" w:name="tbt3a"/>
            <w:bookmarkEnd w:id="4"/>
            <w:r w:rsidRPr="002F6A28">
              <w:rPr>
                <w:b/>
              </w:rPr>
              <w:t> ]</w:t>
            </w:r>
            <w:proofErr w:type="gramEnd"/>
            <w:r w:rsidRPr="002F6A28">
              <w:rPr>
                <w:b/>
              </w:rPr>
              <w:t>, 2.10.1 [ </w:t>
            </w:r>
            <w:bookmarkStart w:id="5" w:name="tbt3b"/>
            <w:bookmarkStart w:id="6" w:name="tbt3c"/>
            <w:bookmarkEnd w:id="5"/>
            <w:r>
              <w:rPr>
                <w:b/>
              </w:rPr>
              <w:t> ],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E9192E" w:rsidTr="0069259F">
        <w:tc>
          <w:tcPr>
            <w:tcW w:w="713" w:type="dxa"/>
            <w:tcBorders>
              <w:top w:val="single" w:sz="6" w:space="0" w:color="auto"/>
              <w:bottom w:val="single" w:sz="6" w:space="0" w:color="auto"/>
            </w:tcBorders>
            <w:shd w:val="clear" w:color="auto" w:fill="auto"/>
          </w:tcPr>
          <w:p w:rsidR="00F85C99" w:rsidRPr="002F6A28" w:rsidRDefault="00B2109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E9192E" w:rsidRDefault="00B21091" w:rsidP="00B21091">
            <w:pPr>
              <w:spacing w:before="120" w:after="120"/>
            </w:pPr>
            <w:r w:rsidRPr="002F6A28">
              <w:rPr>
                <w:b/>
              </w:rPr>
              <w:t xml:space="preserve">Products covered (HS or CCCN where applicable, otherwise national tariff heading. ICS numbers may be provided in addition, where applicable): </w:t>
            </w:r>
            <w:r>
              <w:t>Construction products</w:t>
            </w:r>
            <w:bookmarkStart w:id="9" w:name="sps3a"/>
            <w:bookmarkEnd w:id="9"/>
          </w:p>
        </w:tc>
      </w:tr>
      <w:tr w:rsidR="00E9192E" w:rsidTr="0069259F">
        <w:tc>
          <w:tcPr>
            <w:tcW w:w="713" w:type="dxa"/>
            <w:tcBorders>
              <w:top w:val="single" w:sz="6" w:space="0" w:color="auto"/>
              <w:bottom w:val="single" w:sz="6" w:space="0" w:color="auto"/>
            </w:tcBorders>
            <w:shd w:val="clear" w:color="auto" w:fill="auto"/>
          </w:tcPr>
          <w:p w:rsidR="00F85C99" w:rsidRPr="002F6A28" w:rsidRDefault="00B2109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21091" w:rsidP="002F6A28">
            <w:pPr>
              <w:spacing w:before="120" w:after="120"/>
            </w:pPr>
            <w:r w:rsidRPr="002F6A28">
              <w:rPr>
                <w:b/>
              </w:rPr>
              <w:t xml:space="preserve">Title, number of pages and language(s) of the notified document: </w:t>
            </w:r>
            <w:r>
              <w:t>Draft Commission Delegated Regulation supplementing Regulation (EU) No 305/2011 of the European Parliament and of the Council by establishing classes of performance in relation to air permeability for rooflights of plastics and glass and roof hatches (6 pages + Annex 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E9192E" w:rsidTr="0069259F">
        <w:tc>
          <w:tcPr>
            <w:tcW w:w="713" w:type="dxa"/>
            <w:tcBorders>
              <w:top w:val="single" w:sz="6" w:space="0" w:color="auto"/>
              <w:bottom w:val="single" w:sz="6" w:space="0" w:color="auto"/>
            </w:tcBorders>
            <w:shd w:val="clear" w:color="auto" w:fill="auto"/>
          </w:tcPr>
          <w:p w:rsidR="00F85C99" w:rsidRPr="002F6A28" w:rsidRDefault="00B2109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21091" w:rsidP="002F6A28">
            <w:pPr>
              <w:spacing w:before="120" w:after="120"/>
              <w:rPr>
                <w:b/>
              </w:rPr>
            </w:pPr>
            <w:r w:rsidRPr="002F6A28">
              <w:rPr>
                <w:b/>
              </w:rPr>
              <w:t xml:space="preserve">Description of content: </w:t>
            </w:r>
            <w:r>
              <w:t>This draft delegated act under the Construction Products Regulation (EU) No 305/2011 (the CPR) contains the introduction of new classes of performance in relation to air permeability for rooflights of plastics and glass and roof hatches under EN 1873, EN 1873-1, EN 1873-2, EN 1873-3 and EN 14963.</w:t>
            </w:r>
            <w:bookmarkStart w:id="13" w:name="sps6a"/>
            <w:bookmarkEnd w:id="13"/>
          </w:p>
        </w:tc>
      </w:tr>
      <w:tr w:rsidR="00E9192E" w:rsidTr="0069259F">
        <w:tc>
          <w:tcPr>
            <w:tcW w:w="713" w:type="dxa"/>
            <w:tcBorders>
              <w:top w:val="single" w:sz="6" w:space="0" w:color="auto"/>
              <w:bottom w:val="single" w:sz="6" w:space="0" w:color="auto"/>
            </w:tcBorders>
            <w:shd w:val="clear" w:color="auto" w:fill="auto"/>
          </w:tcPr>
          <w:p w:rsidR="00F85C99" w:rsidRPr="002F6A28" w:rsidRDefault="00B2109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21091" w:rsidP="002F6A28">
            <w:pPr>
              <w:spacing w:before="120" w:after="120"/>
              <w:rPr>
                <w:b/>
              </w:rPr>
            </w:pPr>
            <w:r w:rsidRPr="002F6A28">
              <w:rPr>
                <w:b/>
              </w:rPr>
              <w:t xml:space="preserve">Objective and rationale, including the nature of urgent problems where applicable: </w:t>
            </w:r>
            <w:r>
              <w:t xml:space="preserve">The reference to the European product standard EN 1873:2005 on individual rooflights of plastics was first published under Directive 89/106/EEC in the </w:t>
            </w:r>
            <w:r>
              <w:rPr>
                <w:i/>
                <w:iCs/>
              </w:rPr>
              <w:t>Official Journal of the European Union</w:t>
            </w:r>
            <w:r>
              <w:t xml:space="preserve"> in June 2006. This harmonised standard did not contain a classification for the performance of the products covered by it in relation to the essential characteristic air permeability.</w:t>
            </w:r>
          </w:p>
          <w:p w:rsidR="00E9192E" w:rsidRDefault="00B21091">
            <w:pPr>
              <w:spacing w:after="120"/>
            </w:pPr>
            <w:r>
              <w:t>Recently, the European Committee for Standardisation (CEN) submitted to the Commission a new version of this standard, EN 1873:2014+A1:2016. This version comprises a classification for the performance of the products covered by it in relation to the essential characteristic air permeability, with three classes of performance introduced. This standard is currently under revision in CEN, so as to cover rooflights of plastics and glass and roof hatches. It is planned to have three parts in its next version, i.e. EN 1873-1, EN 1873-2 and EN 1873-3. All three parts are to contain the said classification.</w:t>
            </w:r>
          </w:p>
          <w:p w:rsidR="00E9192E" w:rsidRDefault="00B21091">
            <w:pPr>
              <w:spacing w:after="120"/>
            </w:pPr>
            <w:r>
              <w:t xml:space="preserve">The reference to the European product standard EN 14963:2006 on continuous rooflights of plastics was first published under Directive 89/106/EEC in the </w:t>
            </w:r>
            <w:r>
              <w:rPr>
                <w:i/>
                <w:iCs/>
              </w:rPr>
              <w:t xml:space="preserve">Official Journal of the </w:t>
            </w:r>
            <w:r>
              <w:rPr>
                <w:i/>
                <w:iCs/>
              </w:rPr>
              <w:lastRenderedPageBreak/>
              <w:t>European Union</w:t>
            </w:r>
            <w:r>
              <w:t xml:space="preserve"> in July 2009. This harmonised standard did not contain a classification for the performance of the products covered by it in relation to the essential characteristic air permeability.</w:t>
            </w:r>
          </w:p>
          <w:p w:rsidR="00E9192E" w:rsidRDefault="00B21091">
            <w:pPr>
              <w:spacing w:after="120"/>
            </w:pPr>
            <w:r>
              <w:t>Recently, CEN informed the Commission that the next revised version of this standard will comprise the same classification for the performance of the products covered by it in relation to the essential characteristic air permeability as introduced in EN 1873.</w:t>
            </w:r>
          </w:p>
          <w:p w:rsidR="00E9192E" w:rsidRDefault="00B21091">
            <w:pPr>
              <w:spacing w:after="120"/>
            </w:pPr>
            <w:r>
              <w:t>According to the above standards, the assessment of performance in relation to air permeability is to be carried out by using different levels of internal pressure, increasing stepwise from the level of 4 Pa to the level of 100 Pa. The classification of the results can be expressed in a diagram, which depicts the three classes as rectangles distinguished by straight lines between the levels indicating the differentiating outcomes at the internal pressure levels 4 Pa and 100 Pa.</w:t>
            </w:r>
            <w:bookmarkStart w:id="14" w:name="sps7f"/>
            <w:bookmarkEnd w:id="14"/>
          </w:p>
        </w:tc>
      </w:tr>
      <w:tr w:rsidR="00E9192E" w:rsidTr="0069259F">
        <w:tc>
          <w:tcPr>
            <w:tcW w:w="713" w:type="dxa"/>
            <w:tcBorders>
              <w:top w:val="single" w:sz="6" w:space="0" w:color="auto"/>
              <w:bottom w:val="single" w:sz="6" w:space="0" w:color="auto"/>
            </w:tcBorders>
            <w:shd w:val="clear" w:color="auto" w:fill="auto"/>
          </w:tcPr>
          <w:p w:rsidR="00F85C99" w:rsidRPr="002F6A28" w:rsidRDefault="00B21091" w:rsidP="002F6A28">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B21091" w:rsidP="002F6A28">
            <w:pPr>
              <w:spacing w:before="120" w:after="120"/>
              <w:jc w:val="left"/>
            </w:pPr>
            <w:r w:rsidRPr="002F6A28">
              <w:rPr>
                <w:b/>
              </w:rPr>
              <w:t>Relevant documents:</w:t>
            </w:r>
            <w:r w:rsidRPr="002F6A28">
              <w:t xml:space="preserve"> </w:t>
            </w:r>
          </w:p>
          <w:p w:rsidR="00F85C99" w:rsidRPr="002F6A28" w:rsidRDefault="00B21091" w:rsidP="008C7314">
            <w:pPr>
              <w:numPr>
                <w:ilvl w:val="0"/>
                <w:numId w:val="16"/>
              </w:numPr>
              <w:spacing w:after="120"/>
              <w:jc w:val="left"/>
            </w:pPr>
            <w:r>
              <w:t xml:space="preserve">Regulation (EU) No 305/2011 of the European Parliament and of the Council of 9 March 2011 laying down harmonised conditions for the marketing of construction products and repealing Council Directive 89/106/EEC. Official Journal of the EU No L 88 of 4.4.2011, page 5. </w:t>
            </w:r>
            <w:r w:rsidR="008C7314">
              <w:br/>
            </w:r>
            <w:hyperlink r:id="rId8" w:history="1">
              <w:r w:rsidR="008C7314" w:rsidRPr="00861480">
                <w:rPr>
                  <w:rStyle w:val="Lienhypertexte"/>
                </w:rPr>
                <w:t>http://eur-lex.europa.eu/LexUriServ/LexUriServ.do?uri=</w:t>
              </w:r>
              <w:r w:rsidR="008C7314" w:rsidRPr="00861480">
                <w:rPr>
                  <w:rStyle w:val="Lienhypertexte"/>
                </w:rPr>
                <w:br/>
                <w:t>OJ:L:2011:088:0005:0043:EN:PDF</w:t>
              </w:r>
            </w:hyperlink>
          </w:p>
          <w:p w:rsidR="00E9192E" w:rsidRDefault="00B21091">
            <w:pPr>
              <w:numPr>
                <w:ilvl w:val="0"/>
                <w:numId w:val="16"/>
              </w:numPr>
              <w:shd w:val="clear" w:color="auto" w:fill="FFFFFF"/>
              <w:spacing w:after="120"/>
              <w:jc w:val="left"/>
            </w:pPr>
            <w:r>
              <w:t xml:space="preserve">Commission communication in the framework of the implementation of the Council Directive 89/106/EEC of 21 December 1988 on the approximation of laws, regulations and administrative provisions of the Member States relating to construction products (Text with EEA relevance) </w:t>
            </w:r>
            <w:r>
              <w:rPr>
                <w:i/>
                <w:iCs/>
              </w:rPr>
              <w:t>OJ C 134, 8.6.2006, p. 1-28 (ES, CS, DA, DE, ET, EL, EN, FR, IT, LV, LT, HU, MT, NL, PL, PT, SK, SL, FI, SV)</w:t>
            </w:r>
            <w:r w:rsidR="008C7314">
              <w:rPr>
                <w:i/>
                <w:iCs/>
              </w:rPr>
              <w:br/>
            </w:r>
            <w:hyperlink r:id="rId9" w:history="1">
              <w:r>
                <w:rPr>
                  <w:i/>
                  <w:iCs/>
                  <w:color w:val="0000FF"/>
                  <w:u w:val="single"/>
                </w:rPr>
                <w:t>https://eur-lex.europa.eu/legal-content/EN/TXT/?uri=uriserv:OJ.C_.2006.134.01.0001.01.ENG&amp;toc=OJ:C:2006:134:TOC</w:t>
              </w:r>
            </w:hyperlink>
          </w:p>
          <w:p w:rsidR="00E9192E" w:rsidRDefault="00B21091">
            <w:pPr>
              <w:numPr>
                <w:ilvl w:val="0"/>
                <w:numId w:val="16"/>
              </w:numPr>
              <w:shd w:val="clear" w:color="auto" w:fill="FFFFFF"/>
              <w:spacing w:after="120"/>
              <w:jc w:val="left"/>
            </w:pPr>
            <w:r>
              <w:t xml:space="preserve">Commission communication in the framework of the implementation of the Council Directive 89/106/EEC on the approximation of laws, regulations and administrative provisions of the Member States relating to construction products (Text with EEA relevance )(Publication of titles and references of harmonised standards under the directive) </w:t>
            </w:r>
            <w:r>
              <w:rPr>
                <w:i/>
                <w:iCs/>
              </w:rPr>
              <w:t>OJ C 152, 4.7.2009, p. 9-39 (BG, ES, CS, DA, DE, ET, EL, EN, FR, IT, LV, LT, HU, MT, NL, PL, PT, RO, SK, SL, FI, SV)</w:t>
            </w:r>
            <w:r w:rsidR="008C7314">
              <w:rPr>
                <w:i/>
                <w:iCs/>
              </w:rPr>
              <w:br/>
            </w:r>
            <w:hyperlink r:id="rId10" w:history="1">
              <w:r>
                <w:rPr>
                  <w:i/>
                  <w:iCs/>
                  <w:color w:val="0000FF"/>
                  <w:u w:val="single"/>
                </w:rPr>
                <w:t>https://eur-lex.europa.eu/legal-content/EN/TXT/?uri=uriserv:OJ.C_.2009.152.01.0009.01.ENG&amp;toc=OJ:C:2009:152:TOC</w:t>
              </w:r>
            </w:hyperlink>
          </w:p>
        </w:tc>
      </w:tr>
      <w:tr w:rsidR="00E9192E" w:rsidTr="0069259F">
        <w:tc>
          <w:tcPr>
            <w:tcW w:w="713" w:type="dxa"/>
            <w:tcBorders>
              <w:top w:val="single" w:sz="6" w:space="0" w:color="auto"/>
              <w:bottom w:val="single" w:sz="6" w:space="0" w:color="auto"/>
            </w:tcBorders>
            <w:shd w:val="clear" w:color="auto" w:fill="auto"/>
          </w:tcPr>
          <w:p w:rsidR="00EE3A11" w:rsidRPr="002F6A28" w:rsidRDefault="00B2109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21091" w:rsidP="00B21091">
            <w:pPr>
              <w:spacing w:before="120" w:after="120"/>
            </w:pPr>
            <w:r w:rsidRPr="002F6A28">
              <w:rPr>
                <w:b/>
              </w:rPr>
              <w:t xml:space="preserve">Proposed date of adoption: </w:t>
            </w:r>
            <w:bookmarkStart w:id="15" w:name="sps10a"/>
            <w:bookmarkStart w:id="16" w:name="sps10b"/>
            <w:bookmarkEnd w:id="15"/>
            <w:r w:rsidRPr="002F6A28">
              <w:t>1st quarter 2019</w:t>
            </w:r>
            <w:bookmarkEnd w:id="16"/>
          </w:p>
          <w:p w:rsidR="00EE3A11" w:rsidRPr="002F6A28" w:rsidRDefault="00B21091" w:rsidP="00B21091">
            <w:pPr>
              <w:spacing w:after="120"/>
            </w:pPr>
            <w:r w:rsidRPr="002F6A28">
              <w:rPr>
                <w:b/>
              </w:rPr>
              <w:t xml:space="preserve">Proposed date of entry into force: </w:t>
            </w:r>
            <w:bookmarkStart w:id="17" w:name="sps11a"/>
            <w:bookmarkStart w:id="18" w:name="sps11b"/>
            <w:bookmarkEnd w:id="17"/>
            <w:r w:rsidRPr="002F6A28">
              <w:t>1st quarter 2019</w:t>
            </w:r>
            <w:bookmarkEnd w:id="18"/>
          </w:p>
        </w:tc>
      </w:tr>
      <w:tr w:rsidR="00E9192E" w:rsidTr="0069259F">
        <w:tc>
          <w:tcPr>
            <w:tcW w:w="713" w:type="dxa"/>
            <w:tcBorders>
              <w:top w:val="single" w:sz="6" w:space="0" w:color="auto"/>
              <w:bottom w:val="single" w:sz="6" w:space="0" w:color="auto"/>
            </w:tcBorders>
            <w:shd w:val="clear" w:color="auto" w:fill="auto"/>
          </w:tcPr>
          <w:p w:rsidR="00F85C99" w:rsidRPr="002F6A28" w:rsidRDefault="00B2109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21091" w:rsidP="002F6A28">
            <w:pPr>
              <w:spacing w:before="120" w:after="120"/>
            </w:pPr>
            <w:r w:rsidRPr="002F6A28">
              <w:rPr>
                <w:b/>
              </w:rPr>
              <w:t xml:space="preserve">Final date for comments: </w:t>
            </w:r>
            <w:r>
              <w:t>60 days from notification</w:t>
            </w:r>
            <w:bookmarkStart w:id="19" w:name="sps12a"/>
            <w:bookmarkEnd w:id="19"/>
          </w:p>
        </w:tc>
      </w:tr>
      <w:tr w:rsidR="00E9192E" w:rsidTr="0069259F">
        <w:tc>
          <w:tcPr>
            <w:tcW w:w="713" w:type="dxa"/>
            <w:tcBorders>
              <w:top w:val="single" w:sz="6" w:space="0" w:color="auto"/>
            </w:tcBorders>
            <w:shd w:val="clear" w:color="auto" w:fill="auto"/>
          </w:tcPr>
          <w:p w:rsidR="00F85C99" w:rsidRPr="002F6A28" w:rsidRDefault="00B21091" w:rsidP="008C7314">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21091"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8C7314" w:rsidRPr="008C7314" w:rsidRDefault="00B21091" w:rsidP="00E969D2">
            <w:pPr>
              <w:keepNext/>
              <w:keepLines/>
              <w:spacing w:after="120"/>
              <w:jc w:val="left"/>
              <w:rPr>
                <w:color w:val="0000FF"/>
                <w:u w:val="single"/>
                <w:lang w:val="fr-FR"/>
              </w:rPr>
            </w:pPr>
            <w:proofErr w:type="spellStart"/>
            <w:r w:rsidRPr="008C7314">
              <w:rPr>
                <w:lang w:val="fr-FR"/>
              </w:rPr>
              <w:t>European</w:t>
            </w:r>
            <w:proofErr w:type="spellEnd"/>
            <w:r w:rsidRPr="008C7314">
              <w:rPr>
                <w:lang w:val="fr-FR"/>
              </w:rPr>
              <w:t xml:space="preserve"> Commission</w:t>
            </w:r>
            <w:r w:rsidRPr="008C7314">
              <w:rPr>
                <w:lang w:val="fr-FR"/>
              </w:rPr>
              <w:br/>
              <w:t>EU-</w:t>
            </w:r>
            <w:proofErr w:type="spellStart"/>
            <w:r w:rsidRPr="008C7314">
              <w:rPr>
                <w:lang w:val="fr-FR"/>
              </w:rPr>
              <w:t>TBT</w:t>
            </w:r>
            <w:proofErr w:type="spellEnd"/>
            <w:r w:rsidRPr="008C7314">
              <w:rPr>
                <w:lang w:val="fr-FR"/>
              </w:rPr>
              <w:t xml:space="preserve"> </w:t>
            </w:r>
            <w:proofErr w:type="spellStart"/>
            <w:r w:rsidRPr="008C7314">
              <w:rPr>
                <w:lang w:val="fr-FR"/>
              </w:rPr>
              <w:t>Enquiry</w:t>
            </w:r>
            <w:proofErr w:type="spellEnd"/>
            <w:r w:rsidRPr="008C7314">
              <w:rPr>
                <w:lang w:val="fr-FR"/>
              </w:rPr>
              <w:t xml:space="preserve"> Point</w:t>
            </w:r>
            <w:r w:rsidRPr="008C7314">
              <w:rPr>
                <w:lang w:val="fr-FR"/>
              </w:rPr>
              <w:br/>
            </w:r>
            <w:proofErr w:type="gramStart"/>
            <w:r w:rsidRPr="008C7314">
              <w:rPr>
                <w:lang w:val="fr-FR"/>
              </w:rPr>
              <w:t>Fax:</w:t>
            </w:r>
            <w:proofErr w:type="gramEnd"/>
            <w:r w:rsidRPr="008C7314">
              <w:rPr>
                <w:lang w:val="fr-FR"/>
              </w:rPr>
              <w:t xml:space="preserve"> + (32) 2 299 80 43</w:t>
            </w:r>
            <w:r w:rsidRPr="008C7314">
              <w:rPr>
                <w:lang w:val="fr-FR"/>
              </w:rPr>
              <w:br/>
              <w:t xml:space="preserve">E-mail: </w:t>
            </w:r>
            <w:hyperlink r:id="rId11" w:history="1">
              <w:r w:rsidRPr="008C7314">
                <w:rPr>
                  <w:color w:val="0000FF"/>
                  <w:u w:val="single"/>
                  <w:lang w:val="fr-FR"/>
                </w:rPr>
                <w:t>grow-eu-tbt@ec.europa.eu</w:t>
              </w:r>
            </w:hyperlink>
          </w:p>
          <w:p w:rsidR="008C7314" w:rsidRDefault="00B21091" w:rsidP="00E969D2">
            <w:pPr>
              <w:keepNext/>
              <w:keepLines/>
              <w:spacing w:after="120"/>
              <w:jc w:val="left"/>
            </w:pPr>
            <w:r>
              <w:t xml:space="preserve">The text is available on the EU-TBT Website: </w:t>
            </w:r>
          </w:p>
          <w:p w:rsidR="008C7314" w:rsidRDefault="00487F0D" w:rsidP="00E969D2">
            <w:pPr>
              <w:keepNext/>
              <w:keepLines/>
              <w:spacing w:after="120"/>
              <w:jc w:val="left"/>
              <w:rPr>
                <w:color w:val="0000FF"/>
                <w:u w:val="single"/>
              </w:rPr>
            </w:pPr>
            <w:hyperlink r:id="rId12" w:tgtFrame="_blank" w:history="1">
              <w:r w:rsidR="00B21091">
                <w:rPr>
                  <w:color w:val="0000FF"/>
                  <w:u w:val="single"/>
                </w:rPr>
                <w:t>http://ec.europa.eu/growth/tools-databases/tbt/en/</w:t>
              </w:r>
            </w:hyperlink>
          </w:p>
          <w:p w:rsidR="00F85C99" w:rsidRPr="002F6A28" w:rsidRDefault="00487F0D" w:rsidP="00E969D2">
            <w:pPr>
              <w:keepNext/>
              <w:keepLines/>
              <w:spacing w:after="120"/>
              <w:jc w:val="left"/>
            </w:pPr>
            <w:hyperlink r:id="rId13" w:tgtFrame="_blank" w:history="1">
              <w:r w:rsidR="00B21091">
                <w:rPr>
                  <w:color w:val="0000FF"/>
                  <w:u w:val="single"/>
                </w:rPr>
                <w:t>https://members.wto.org/crnattachments/2018/TBT/EEC/18_5894_00_e.pdf</w:t>
              </w:r>
            </w:hyperlink>
          </w:p>
          <w:p w:rsidR="00E9192E" w:rsidRDefault="00487F0D">
            <w:pPr>
              <w:spacing w:after="120"/>
              <w:jc w:val="left"/>
            </w:pPr>
            <w:hyperlink r:id="rId14" w:tgtFrame="_blank" w:history="1">
              <w:r w:rsidR="00B21091">
                <w:rPr>
                  <w:color w:val="0000FF"/>
                  <w:u w:val="single"/>
                </w:rPr>
                <w:t>https://members.wto.org/crnattachments/2018/TBT/EEC/18_5894_01_e.pdf</w:t>
              </w:r>
            </w:hyperlink>
            <w:bookmarkStart w:id="21" w:name="sps13c"/>
            <w:bookmarkEnd w:id="21"/>
          </w:p>
        </w:tc>
      </w:tr>
    </w:tbl>
    <w:p w:rsidR="00EE3A11" w:rsidRPr="002F6A28" w:rsidRDefault="00487F0D" w:rsidP="002F6A28"/>
    <w:sectPr w:rsidR="00EE3A11" w:rsidRPr="002F6A28" w:rsidSect="008C7314">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134"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A0C" w:rsidRDefault="00B21091">
      <w:r>
        <w:separator/>
      </w:r>
    </w:p>
  </w:endnote>
  <w:endnote w:type="continuationSeparator" w:id="0">
    <w:p w:rsidR="00C65A0C" w:rsidRDefault="00B2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21091" w:rsidRDefault="00B21091" w:rsidP="00B2109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21091" w:rsidRDefault="00B21091" w:rsidP="00B2109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21091">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A0C" w:rsidRDefault="00B21091">
      <w:r>
        <w:separator/>
      </w:r>
    </w:p>
  </w:footnote>
  <w:footnote w:type="continuationSeparator" w:id="0">
    <w:p w:rsidR="00C65A0C" w:rsidRDefault="00B21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091" w:rsidRPr="00B21091" w:rsidRDefault="00B21091" w:rsidP="00B21091">
    <w:pPr>
      <w:pStyle w:val="En-tte"/>
      <w:pBdr>
        <w:bottom w:val="single" w:sz="4" w:space="1" w:color="auto"/>
      </w:pBdr>
      <w:tabs>
        <w:tab w:val="clear" w:pos="4513"/>
        <w:tab w:val="clear" w:pos="9027"/>
      </w:tabs>
      <w:jc w:val="center"/>
    </w:pPr>
    <w:r w:rsidRPr="00B21091">
      <w:t>G/TBT/N/EU/619</w:t>
    </w:r>
  </w:p>
  <w:p w:rsidR="00B21091" w:rsidRPr="00B21091" w:rsidRDefault="00B21091" w:rsidP="00B21091">
    <w:pPr>
      <w:pStyle w:val="En-tte"/>
      <w:pBdr>
        <w:bottom w:val="single" w:sz="4" w:space="1" w:color="auto"/>
      </w:pBdr>
      <w:tabs>
        <w:tab w:val="clear" w:pos="4513"/>
        <w:tab w:val="clear" w:pos="9027"/>
      </w:tabs>
      <w:jc w:val="center"/>
    </w:pPr>
  </w:p>
  <w:p w:rsidR="00B21091" w:rsidRPr="00B21091" w:rsidRDefault="00B21091" w:rsidP="00B21091">
    <w:pPr>
      <w:pStyle w:val="En-tte"/>
      <w:pBdr>
        <w:bottom w:val="single" w:sz="4" w:space="1" w:color="auto"/>
      </w:pBdr>
      <w:tabs>
        <w:tab w:val="clear" w:pos="4513"/>
        <w:tab w:val="clear" w:pos="9027"/>
      </w:tabs>
      <w:jc w:val="center"/>
    </w:pPr>
    <w:r w:rsidRPr="00B21091">
      <w:t xml:space="preserve">- </w:t>
    </w:r>
    <w:r w:rsidRPr="00B21091">
      <w:fldChar w:fldCharType="begin"/>
    </w:r>
    <w:r w:rsidRPr="00B21091">
      <w:instrText xml:space="preserve"> PAGE </w:instrText>
    </w:r>
    <w:r w:rsidRPr="00B21091">
      <w:fldChar w:fldCharType="separate"/>
    </w:r>
    <w:r w:rsidR="00487F0D">
      <w:rPr>
        <w:noProof/>
      </w:rPr>
      <w:t>2</w:t>
    </w:r>
    <w:r w:rsidRPr="00B21091">
      <w:fldChar w:fldCharType="end"/>
    </w:r>
    <w:r w:rsidRPr="00B21091">
      <w:t xml:space="preserve"> -</w:t>
    </w:r>
  </w:p>
  <w:p w:rsidR="009239F7" w:rsidRPr="00B21091" w:rsidRDefault="00487F0D" w:rsidP="00B2109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091" w:rsidRPr="00B21091" w:rsidRDefault="00B21091" w:rsidP="00B21091">
    <w:pPr>
      <w:pStyle w:val="En-tte"/>
      <w:pBdr>
        <w:bottom w:val="single" w:sz="4" w:space="1" w:color="auto"/>
      </w:pBdr>
      <w:tabs>
        <w:tab w:val="clear" w:pos="4513"/>
        <w:tab w:val="clear" w:pos="9027"/>
      </w:tabs>
      <w:jc w:val="center"/>
    </w:pPr>
    <w:r w:rsidRPr="00B21091">
      <w:t>G/TBT/N/EU/619</w:t>
    </w:r>
  </w:p>
  <w:p w:rsidR="00B21091" w:rsidRPr="00B21091" w:rsidRDefault="00B21091" w:rsidP="00B21091">
    <w:pPr>
      <w:pStyle w:val="En-tte"/>
      <w:pBdr>
        <w:bottom w:val="single" w:sz="4" w:space="1" w:color="auto"/>
      </w:pBdr>
      <w:tabs>
        <w:tab w:val="clear" w:pos="4513"/>
        <w:tab w:val="clear" w:pos="9027"/>
      </w:tabs>
      <w:jc w:val="center"/>
    </w:pPr>
  </w:p>
  <w:p w:rsidR="00B21091" w:rsidRPr="00B21091" w:rsidRDefault="00B21091" w:rsidP="00B21091">
    <w:pPr>
      <w:pStyle w:val="En-tte"/>
      <w:pBdr>
        <w:bottom w:val="single" w:sz="4" w:space="1" w:color="auto"/>
      </w:pBdr>
      <w:tabs>
        <w:tab w:val="clear" w:pos="4513"/>
        <w:tab w:val="clear" w:pos="9027"/>
      </w:tabs>
      <w:jc w:val="center"/>
    </w:pPr>
    <w:r w:rsidRPr="00B21091">
      <w:t xml:space="preserve">- </w:t>
    </w:r>
    <w:r w:rsidRPr="00B21091">
      <w:fldChar w:fldCharType="begin"/>
    </w:r>
    <w:r w:rsidRPr="00B21091">
      <w:instrText xml:space="preserve"> PAGE </w:instrText>
    </w:r>
    <w:r w:rsidRPr="00B21091">
      <w:fldChar w:fldCharType="separate"/>
    </w:r>
    <w:r w:rsidR="008C7314">
      <w:rPr>
        <w:noProof/>
      </w:rPr>
      <w:t>3</w:t>
    </w:r>
    <w:r w:rsidRPr="00B21091">
      <w:fldChar w:fldCharType="end"/>
    </w:r>
    <w:r w:rsidRPr="00B21091">
      <w:t xml:space="preserve"> -</w:t>
    </w:r>
  </w:p>
  <w:p w:rsidR="009239F7" w:rsidRPr="00B21091" w:rsidRDefault="00487F0D" w:rsidP="00B2109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9192E" w:rsidTr="008612A9">
      <w:trPr>
        <w:trHeight w:val="240"/>
        <w:jc w:val="center"/>
      </w:trPr>
      <w:tc>
        <w:tcPr>
          <w:tcW w:w="3794" w:type="dxa"/>
          <w:shd w:val="clear" w:color="auto" w:fill="FFFFFF"/>
          <w:tcMar>
            <w:left w:w="108" w:type="dxa"/>
            <w:right w:w="108" w:type="dxa"/>
          </w:tcMar>
          <w:vAlign w:val="center"/>
        </w:tcPr>
        <w:p w:rsidR="00ED54E0" w:rsidRPr="009239F7" w:rsidRDefault="00487F0D"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B21091" w:rsidP="00B801E9">
          <w:pPr>
            <w:jc w:val="right"/>
            <w:rPr>
              <w:b/>
              <w:color w:val="FF0000"/>
              <w:szCs w:val="16"/>
            </w:rPr>
          </w:pPr>
          <w:r>
            <w:rPr>
              <w:b/>
              <w:color w:val="FF0000"/>
              <w:szCs w:val="16"/>
            </w:rPr>
            <w:t xml:space="preserve"> </w:t>
          </w:r>
        </w:p>
      </w:tc>
    </w:tr>
    <w:bookmarkEnd w:id="22"/>
    <w:tr w:rsidR="00E9192E" w:rsidTr="008612A9">
      <w:trPr>
        <w:trHeight w:val="213"/>
        <w:jc w:val="center"/>
      </w:trPr>
      <w:tc>
        <w:tcPr>
          <w:tcW w:w="3794" w:type="dxa"/>
          <w:vMerge w:val="restart"/>
          <w:shd w:val="clear" w:color="auto" w:fill="FFFFFF"/>
          <w:tcMar>
            <w:left w:w="0" w:type="dxa"/>
            <w:right w:w="0" w:type="dxa"/>
          </w:tcMar>
        </w:tcPr>
        <w:p w:rsidR="00ED54E0" w:rsidRPr="009239F7" w:rsidRDefault="008C2A21" w:rsidP="00B801E9">
          <w:pPr>
            <w:jc w:val="left"/>
          </w:pPr>
          <w:r>
            <w:rPr>
              <w:noProof/>
              <w:lang w:eastAsia="en-GB"/>
            </w:rPr>
            <w:drawing>
              <wp:inline distT="0" distB="0" distL="0" distR="0">
                <wp:extent cx="2400300" cy="7143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87F0D" w:rsidP="00B801E9">
          <w:pPr>
            <w:jc w:val="right"/>
            <w:rPr>
              <w:b/>
              <w:szCs w:val="16"/>
            </w:rPr>
          </w:pPr>
        </w:p>
      </w:tc>
    </w:tr>
    <w:tr w:rsidR="00E9192E" w:rsidTr="008612A9">
      <w:trPr>
        <w:trHeight w:val="868"/>
        <w:jc w:val="center"/>
      </w:trPr>
      <w:tc>
        <w:tcPr>
          <w:tcW w:w="3794" w:type="dxa"/>
          <w:vMerge/>
          <w:shd w:val="clear" w:color="auto" w:fill="FFFFFF"/>
          <w:tcMar>
            <w:left w:w="108" w:type="dxa"/>
            <w:right w:w="108" w:type="dxa"/>
          </w:tcMar>
        </w:tcPr>
        <w:p w:rsidR="00ED54E0" w:rsidRPr="009239F7" w:rsidRDefault="00487F0D" w:rsidP="00B801E9">
          <w:pPr>
            <w:jc w:val="left"/>
            <w:rPr>
              <w:noProof/>
              <w:lang w:eastAsia="en-GB"/>
            </w:rPr>
          </w:pPr>
        </w:p>
      </w:tc>
      <w:tc>
        <w:tcPr>
          <w:tcW w:w="5448" w:type="dxa"/>
          <w:gridSpan w:val="2"/>
          <w:shd w:val="clear" w:color="auto" w:fill="FFFFFF"/>
          <w:tcMar>
            <w:left w:w="108" w:type="dxa"/>
            <w:right w:w="108" w:type="dxa"/>
          </w:tcMar>
        </w:tcPr>
        <w:p w:rsidR="00B21091" w:rsidRDefault="00B21091" w:rsidP="00B801E9">
          <w:pPr>
            <w:jc w:val="right"/>
            <w:rPr>
              <w:b/>
              <w:szCs w:val="16"/>
            </w:rPr>
          </w:pPr>
          <w:bookmarkStart w:id="23" w:name="bmkSymbols"/>
          <w:r>
            <w:rPr>
              <w:b/>
              <w:szCs w:val="16"/>
            </w:rPr>
            <w:t>G/TBT/N/EU/619</w:t>
          </w:r>
        </w:p>
        <w:bookmarkEnd w:id="23"/>
        <w:p w:rsidR="00ED54E0" w:rsidRPr="009239F7" w:rsidRDefault="00487F0D" w:rsidP="00B801E9">
          <w:pPr>
            <w:jc w:val="right"/>
            <w:rPr>
              <w:b/>
              <w:szCs w:val="16"/>
            </w:rPr>
          </w:pPr>
        </w:p>
      </w:tc>
    </w:tr>
    <w:tr w:rsidR="00E9192E" w:rsidTr="008612A9">
      <w:trPr>
        <w:trHeight w:val="240"/>
        <w:jc w:val="center"/>
      </w:trPr>
      <w:tc>
        <w:tcPr>
          <w:tcW w:w="3794" w:type="dxa"/>
          <w:vMerge/>
          <w:shd w:val="clear" w:color="auto" w:fill="FFFFFF"/>
          <w:tcMar>
            <w:left w:w="108" w:type="dxa"/>
            <w:right w:w="108" w:type="dxa"/>
          </w:tcMar>
          <w:vAlign w:val="center"/>
        </w:tcPr>
        <w:p w:rsidR="00ED54E0" w:rsidRPr="009239F7" w:rsidRDefault="00487F0D" w:rsidP="00B801E9"/>
      </w:tc>
      <w:tc>
        <w:tcPr>
          <w:tcW w:w="5448" w:type="dxa"/>
          <w:gridSpan w:val="2"/>
          <w:shd w:val="clear" w:color="auto" w:fill="FFFFFF"/>
          <w:tcMar>
            <w:left w:w="108" w:type="dxa"/>
            <w:right w:w="108" w:type="dxa"/>
          </w:tcMar>
          <w:vAlign w:val="center"/>
        </w:tcPr>
        <w:p w:rsidR="00ED54E0" w:rsidRPr="009239F7" w:rsidRDefault="00487F0D" w:rsidP="00B801E9">
          <w:pPr>
            <w:jc w:val="right"/>
            <w:rPr>
              <w:szCs w:val="16"/>
            </w:rPr>
          </w:pPr>
          <w:bookmarkStart w:id="24" w:name="spsDateDistribution"/>
          <w:bookmarkStart w:id="25" w:name="bmkDate"/>
          <w:bookmarkEnd w:id="24"/>
          <w:bookmarkEnd w:id="25"/>
          <w:r>
            <w:rPr>
              <w:szCs w:val="16"/>
            </w:rPr>
            <w:t xml:space="preserve">15 November </w:t>
          </w:r>
          <w:r>
            <w:rPr>
              <w:szCs w:val="16"/>
            </w:rPr>
            <w:t>2018</w:t>
          </w:r>
          <w:bookmarkStart w:id="26" w:name="_GoBack"/>
          <w:bookmarkEnd w:id="26"/>
        </w:p>
      </w:tc>
    </w:tr>
    <w:tr w:rsidR="00E9192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21091" w:rsidP="0097650D">
          <w:pPr>
            <w:jc w:val="left"/>
            <w:rPr>
              <w:b/>
            </w:rPr>
          </w:pPr>
          <w:bookmarkStart w:id="27" w:name="bmkSerial"/>
          <w:r w:rsidRPr="002F6A28">
            <w:rPr>
              <w:color w:val="FF0000"/>
              <w:szCs w:val="16"/>
            </w:rPr>
            <w:t>(</w:t>
          </w:r>
          <w:bookmarkStart w:id="28" w:name="spsSerialNumber"/>
          <w:bookmarkEnd w:id="28"/>
          <w:r w:rsidR="00487F0D">
            <w:rPr>
              <w:color w:val="FF0000"/>
              <w:szCs w:val="16"/>
            </w:rPr>
            <w:t>18-7167</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B21091"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87F0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87F0D">
            <w:rPr>
              <w:bCs/>
              <w:noProof/>
              <w:szCs w:val="16"/>
            </w:rPr>
            <w:t>2</w:t>
          </w:r>
          <w:r w:rsidRPr="002F6A28">
            <w:rPr>
              <w:bCs/>
              <w:szCs w:val="16"/>
            </w:rPr>
            <w:fldChar w:fldCharType="end"/>
          </w:r>
          <w:bookmarkEnd w:id="29"/>
        </w:p>
      </w:tc>
    </w:tr>
    <w:tr w:rsidR="00E9192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21091"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B21091" w:rsidP="00B801E9">
          <w:pPr>
            <w:jc w:val="right"/>
            <w:rPr>
              <w:bCs/>
              <w:szCs w:val="18"/>
            </w:rPr>
          </w:pPr>
          <w:bookmarkStart w:id="31" w:name="bmkLanguage"/>
          <w:r>
            <w:rPr>
              <w:bCs/>
              <w:szCs w:val="18"/>
            </w:rPr>
            <w:t>Original: English</w:t>
          </w:r>
          <w:bookmarkEnd w:id="31"/>
        </w:p>
      </w:tc>
    </w:tr>
  </w:tbl>
  <w:p w:rsidR="00ED54E0" w:rsidRPr="002F6A28" w:rsidRDefault="00487F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0CA4E1C">
      <w:start w:val="1"/>
      <w:numFmt w:val="decimal"/>
      <w:pStyle w:val="SummaryText"/>
      <w:lvlText w:val="%1."/>
      <w:lvlJc w:val="left"/>
      <w:pPr>
        <w:ind w:left="360" w:hanging="360"/>
      </w:pPr>
    </w:lvl>
    <w:lvl w:ilvl="1" w:tplc="11A67D04" w:tentative="1">
      <w:start w:val="1"/>
      <w:numFmt w:val="lowerLetter"/>
      <w:lvlText w:val="%2."/>
      <w:lvlJc w:val="left"/>
      <w:pPr>
        <w:ind w:left="1080" w:hanging="360"/>
      </w:pPr>
    </w:lvl>
    <w:lvl w:ilvl="2" w:tplc="980CA20A" w:tentative="1">
      <w:start w:val="1"/>
      <w:numFmt w:val="lowerRoman"/>
      <w:lvlText w:val="%3."/>
      <w:lvlJc w:val="right"/>
      <w:pPr>
        <w:ind w:left="1800" w:hanging="180"/>
      </w:pPr>
    </w:lvl>
    <w:lvl w:ilvl="3" w:tplc="D800F08C" w:tentative="1">
      <w:start w:val="1"/>
      <w:numFmt w:val="decimal"/>
      <w:lvlText w:val="%4."/>
      <w:lvlJc w:val="left"/>
      <w:pPr>
        <w:ind w:left="2520" w:hanging="360"/>
      </w:pPr>
    </w:lvl>
    <w:lvl w:ilvl="4" w:tplc="F3967246" w:tentative="1">
      <w:start w:val="1"/>
      <w:numFmt w:val="lowerLetter"/>
      <w:lvlText w:val="%5."/>
      <w:lvlJc w:val="left"/>
      <w:pPr>
        <w:ind w:left="3240" w:hanging="360"/>
      </w:pPr>
    </w:lvl>
    <w:lvl w:ilvl="5" w:tplc="86E0E3DA" w:tentative="1">
      <w:start w:val="1"/>
      <w:numFmt w:val="lowerRoman"/>
      <w:lvlText w:val="%6."/>
      <w:lvlJc w:val="right"/>
      <w:pPr>
        <w:ind w:left="3960" w:hanging="180"/>
      </w:pPr>
    </w:lvl>
    <w:lvl w:ilvl="6" w:tplc="E312BFDA" w:tentative="1">
      <w:start w:val="1"/>
      <w:numFmt w:val="decimal"/>
      <w:lvlText w:val="%7."/>
      <w:lvlJc w:val="left"/>
      <w:pPr>
        <w:ind w:left="4680" w:hanging="360"/>
      </w:pPr>
    </w:lvl>
    <w:lvl w:ilvl="7" w:tplc="AB66E412" w:tentative="1">
      <w:start w:val="1"/>
      <w:numFmt w:val="lowerLetter"/>
      <w:lvlText w:val="%8."/>
      <w:lvlJc w:val="left"/>
      <w:pPr>
        <w:ind w:left="5400" w:hanging="360"/>
      </w:pPr>
    </w:lvl>
    <w:lvl w:ilvl="8" w:tplc="4904997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A3E37CA">
      <w:start w:val="1"/>
      <w:numFmt w:val="bullet"/>
      <w:lvlText w:val=""/>
      <w:lvlJc w:val="left"/>
      <w:pPr>
        <w:tabs>
          <w:tab w:val="num" w:pos="720"/>
        </w:tabs>
        <w:ind w:left="720" w:hanging="360"/>
      </w:pPr>
      <w:rPr>
        <w:rFonts w:ascii="Symbol" w:hAnsi="Symbol"/>
      </w:rPr>
    </w:lvl>
    <w:lvl w:ilvl="1" w:tplc="C30ADCD8">
      <w:start w:val="1"/>
      <w:numFmt w:val="bullet"/>
      <w:lvlText w:val="o"/>
      <w:lvlJc w:val="left"/>
      <w:pPr>
        <w:tabs>
          <w:tab w:val="num" w:pos="1440"/>
        </w:tabs>
        <w:ind w:left="1440" w:hanging="360"/>
      </w:pPr>
      <w:rPr>
        <w:rFonts w:ascii="Courier New" w:hAnsi="Courier New"/>
      </w:rPr>
    </w:lvl>
    <w:lvl w:ilvl="2" w:tplc="095202B2">
      <w:start w:val="1"/>
      <w:numFmt w:val="bullet"/>
      <w:lvlText w:val=""/>
      <w:lvlJc w:val="left"/>
      <w:pPr>
        <w:tabs>
          <w:tab w:val="num" w:pos="2160"/>
        </w:tabs>
        <w:ind w:left="2160" w:hanging="360"/>
      </w:pPr>
      <w:rPr>
        <w:rFonts w:ascii="Wingdings" w:hAnsi="Wingdings"/>
      </w:rPr>
    </w:lvl>
    <w:lvl w:ilvl="3" w:tplc="A85434CC">
      <w:start w:val="1"/>
      <w:numFmt w:val="bullet"/>
      <w:lvlText w:val=""/>
      <w:lvlJc w:val="left"/>
      <w:pPr>
        <w:tabs>
          <w:tab w:val="num" w:pos="2880"/>
        </w:tabs>
        <w:ind w:left="2880" w:hanging="360"/>
      </w:pPr>
      <w:rPr>
        <w:rFonts w:ascii="Symbol" w:hAnsi="Symbol"/>
      </w:rPr>
    </w:lvl>
    <w:lvl w:ilvl="4" w:tplc="ED80EDA4">
      <w:start w:val="1"/>
      <w:numFmt w:val="bullet"/>
      <w:lvlText w:val="o"/>
      <w:lvlJc w:val="left"/>
      <w:pPr>
        <w:tabs>
          <w:tab w:val="num" w:pos="3600"/>
        </w:tabs>
        <w:ind w:left="3600" w:hanging="360"/>
      </w:pPr>
      <w:rPr>
        <w:rFonts w:ascii="Courier New" w:hAnsi="Courier New"/>
      </w:rPr>
    </w:lvl>
    <w:lvl w:ilvl="5" w:tplc="51E2B9D0">
      <w:start w:val="1"/>
      <w:numFmt w:val="bullet"/>
      <w:lvlText w:val=""/>
      <w:lvlJc w:val="left"/>
      <w:pPr>
        <w:tabs>
          <w:tab w:val="num" w:pos="4320"/>
        </w:tabs>
        <w:ind w:left="4320" w:hanging="360"/>
      </w:pPr>
      <w:rPr>
        <w:rFonts w:ascii="Wingdings" w:hAnsi="Wingdings"/>
      </w:rPr>
    </w:lvl>
    <w:lvl w:ilvl="6" w:tplc="0B729160">
      <w:start w:val="1"/>
      <w:numFmt w:val="bullet"/>
      <w:lvlText w:val=""/>
      <w:lvlJc w:val="left"/>
      <w:pPr>
        <w:tabs>
          <w:tab w:val="num" w:pos="5040"/>
        </w:tabs>
        <w:ind w:left="5040" w:hanging="360"/>
      </w:pPr>
      <w:rPr>
        <w:rFonts w:ascii="Symbol" w:hAnsi="Symbol"/>
      </w:rPr>
    </w:lvl>
    <w:lvl w:ilvl="7" w:tplc="901058C0">
      <w:start w:val="1"/>
      <w:numFmt w:val="bullet"/>
      <w:lvlText w:val="o"/>
      <w:lvlJc w:val="left"/>
      <w:pPr>
        <w:tabs>
          <w:tab w:val="num" w:pos="5760"/>
        </w:tabs>
        <w:ind w:left="5760" w:hanging="360"/>
      </w:pPr>
      <w:rPr>
        <w:rFonts w:ascii="Courier New" w:hAnsi="Courier New"/>
      </w:rPr>
    </w:lvl>
    <w:lvl w:ilvl="8" w:tplc="1486DE5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2E"/>
    <w:rsid w:val="00487F0D"/>
    <w:rsid w:val="008C2A21"/>
    <w:rsid w:val="008C7314"/>
    <w:rsid w:val="00B21091"/>
    <w:rsid w:val="00C65A0C"/>
    <w:rsid w:val="00E9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9E037"/>
  <w15:docId w15:val="{56E1710A-1814-427E-B3C5-3A64D8D6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8C73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1:088:0005:0043:EN:PDF" TargetMode="External"/><Relationship Id="rId13" Type="http://schemas.openxmlformats.org/officeDocument/2006/relationships/hyperlink" Target="https://members.wto.org/crnattachments/2018/TBT/EEC/18_5894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c.europa.eu/growth/tools-databases/tbt/en/"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lex.europa.eu/legal-content/EN/TXT/?uri=uriserv:OJ.C_.2009.152.01.0009.01.ENG&amp;toc=OJ:C:2009:152:TOC"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ur-lex.europa.eu/legal-content/EN/TXT/?uri=uriserv:OJ.C_.2006.134.01.0001.01.ENG&amp;toc=OJ:C:2006:134:TOC" TargetMode="External"/><Relationship Id="rId14" Type="http://schemas.openxmlformats.org/officeDocument/2006/relationships/hyperlink" Target="https://members.wto.org/crnattachments/2018/TBT/EEC/18_5894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1021</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2018-11-14T13:56:00Z</dcterms:created>
  <dcterms:modified xsi:type="dcterms:W3CDTF">2018-11-15T06:41:00Z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G/TBT/N/EU/619</vt:lpwstr>
  </property>
</Properties>
</file>