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F7FD6" w:rsidP="002F6A28">
      <w:pPr>
        <w:pStyle w:val="Titre"/>
        <w:rPr>
          <w:caps w:val="0"/>
          <w:kern w:val="0"/>
        </w:rPr>
      </w:pPr>
      <w:r w:rsidRPr="002F6A28">
        <w:rPr>
          <w:caps w:val="0"/>
          <w:kern w:val="0"/>
        </w:rPr>
        <w:t>NOTIFICATION</w:t>
      </w:r>
    </w:p>
    <w:p w:rsidR="009239F7" w:rsidRPr="002F6A28" w:rsidRDefault="004F7FD6" w:rsidP="002F6A28">
      <w:pPr>
        <w:jc w:val="center"/>
      </w:pPr>
      <w:r w:rsidRPr="002F6A28">
        <w:t>The following notification is being circulated in accordance with Article 10.6</w:t>
      </w:r>
    </w:p>
    <w:p w:rsidR="009239F7" w:rsidRPr="002F6A28" w:rsidRDefault="006A607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441C4" w:rsidTr="0069259F">
        <w:tc>
          <w:tcPr>
            <w:tcW w:w="713" w:type="dxa"/>
            <w:tcBorders>
              <w:bottom w:val="single" w:sz="6" w:space="0" w:color="auto"/>
            </w:tcBorders>
            <w:shd w:val="clear" w:color="auto" w:fill="auto"/>
          </w:tcPr>
          <w:p w:rsidR="00F85C99" w:rsidRPr="002F6A28" w:rsidRDefault="004F7FD6" w:rsidP="00003D33">
            <w:pPr>
              <w:spacing w:before="120" w:after="120"/>
            </w:pPr>
            <w:r w:rsidRPr="002F6A28">
              <w:rPr>
                <w:b/>
              </w:rPr>
              <w:t>1.</w:t>
            </w:r>
          </w:p>
        </w:tc>
        <w:tc>
          <w:tcPr>
            <w:tcW w:w="8546" w:type="dxa"/>
            <w:tcBorders>
              <w:bottom w:val="single" w:sz="6" w:space="0" w:color="auto"/>
            </w:tcBorders>
            <w:shd w:val="clear" w:color="auto" w:fill="auto"/>
          </w:tcPr>
          <w:p w:rsidR="00F85C99" w:rsidRPr="002F6A28" w:rsidRDefault="004F7FD6" w:rsidP="00003D33">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4F7FD6" w:rsidP="00003D33">
            <w:pPr>
              <w:spacing w:after="120"/>
            </w:pPr>
            <w:r w:rsidRPr="002F6A28">
              <w:rPr>
                <w:b/>
              </w:rPr>
              <w:t>If applicable, name of local government involved (Article 3.2 and 7.2):</w:t>
            </w:r>
            <w:r w:rsidRPr="002F6A28">
              <w:t xml:space="preserve"> </w:t>
            </w:r>
            <w:bookmarkStart w:id="1" w:name="sps1b"/>
            <w:bookmarkEnd w:id="1"/>
          </w:p>
        </w:tc>
      </w:tr>
      <w:tr w:rsidR="009441C4" w:rsidRPr="006A6077"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F7FD6" w:rsidP="00003D33">
            <w:pPr>
              <w:spacing w:before="120" w:after="120"/>
            </w:pPr>
            <w:r w:rsidRPr="002F6A28">
              <w:rPr>
                <w:b/>
              </w:rPr>
              <w:t xml:space="preserve">Agency responsible: </w:t>
            </w:r>
            <w:r>
              <w:t>Canadian Food Inspection Agency (</w:t>
            </w:r>
            <w:proofErr w:type="spellStart"/>
            <w:r>
              <w:t>CFIA</w:t>
            </w:r>
            <w:proofErr w:type="spellEnd"/>
            <w:r>
              <w:t>)</w:t>
            </w:r>
            <w:bookmarkStart w:id="2" w:name="sps2a"/>
            <w:bookmarkEnd w:id="2"/>
          </w:p>
          <w:p w:rsidR="007478C6" w:rsidRDefault="004F7FD6" w:rsidP="00003D3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F7FD6" w:rsidP="00003D33">
            <w:pPr>
              <w:spacing w:before="120"/>
            </w:pPr>
            <w:r>
              <w:t>Canada's SPS &amp; TBT Notification Authority and Enquiry Point</w:t>
            </w:r>
          </w:p>
          <w:p w:rsidR="009441C4" w:rsidRDefault="004F7FD6" w:rsidP="00003D33">
            <w:r>
              <w:t>Foreign Affairs, Trade and Development Canada</w:t>
            </w:r>
          </w:p>
          <w:p w:rsidR="009441C4" w:rsidRDefault="004F7FD6" w:rsidP="00003D33">
            <w:r>
              <w:t xml:space="preserve">Technical Barriers and Regulations Division </w:t>
            </w:r>
          </w:p>
          <w:p w:rsidR="009441C4" w:rsidRDefault="004F7FD6" w:rsidP="00003D33">
            <w:r>
              <w:t>111 Sussex Drive</w:t>
            </w:r>
          </w:p>
          <w:p w:rsidR="009441C4" w:rsidRDefault="004F7FD6" w:rsidP="00003D33">
            <w:r>
              <w:t>Ottawa, ON K1A 0G2</w:t>
            </w:r>
          </w:p>
          <w:p w:rsidR="009441C4" w:rsidRDefault="004F7FD6" w:rsidP="00003D33">
            <w:r>
              <w:t>Canada</w:t>
            </w:r>
          </w:p>
          <w:p w:rsidR="009441C4" w:rsidRDefault="004F7FD6" w:rsidP="00003D33">
            <w:r>
              <w:t>Telephone: (343)203-4273</w:t>
            </w:r>
          </w:p>
          <w:p w:rsidR="009441C4" w:rsidRPr="007478C6" w:rsidRDefault="004F7FD6" w:rsidP="00003D33">
            <w:pPr>
              <w:rPr>
                <w:lang w:val="fr-CH"/>
              </w:rPr>
            </w:pPr>
            <w:proofErr w:type="gramStart"/>
            <w:r w:rsidRPr="007478C6">
              <w:rPr>
                <w:lang w:val="fr-CH"/>
              </w:rPr>
              <w:t>Fax:</w:t>
            </w:r>
            <w:proofErr w:type="gramEnd"/>
            <w:r w:rsidRPr="007478C6">
              <w:rPr>
                <w:lang w:val="fr-CH"/>
              </w:rPr>
              <w:t xml:space="preserve"> (613)943-0346</w:t>
            </w:r>
          </w:p>
          <w:p w:rsidR="009441C4" w:rsidRPr="007478C6" w:rsidRDefault="004F7FD6" w:rsidP="00003D33">
            <w:pPr>
              <w:spacing w:after="120"/>
              <w:rPr>
                <w:lang w:val="fr-CH"/>
              </w:rPr>
            </w:pPr>
            <w:proofErr w:type="gramStart"/>
            <w:r w:rsidRPr="007478C6">
              <w:rPr>
                <w:lang w:val="fr-CH"/>
              </w:rPr>
              <w:t>E-mail:</w:t>
            </w:r>
            <w:proofErr w:type="gramEnd"/>
            <w:r w:rsidRPr="007478C6">
              <w:rPr>
                <w:lang w:val="fr-CH"/>
              </w:rPr>
              <w:t xml:space="preserve"> </w:t>
            </w:r>
            <w:r w:rsidRPr="007478C6">
              <w:rPr>
                <w:color w:val="0000FF"/>
                <w:u w:val="single"/>
                <w:lang w:val="fr-CH"/>
              </w:rPr>
              <w:t>enquirypoint@international.gc.ca</w:t>
            </w:r>
            <w:bookmarkStart w:id="3" w:name="sps4a"/>
            <w:bookmarkEnd w:id="3"/>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478C6" w:rsidP="00003D33">
            <w:pPr>
              <w:spacing w:before="120" w:after="120"/>
              <w:rPr>
                <w:b/>
              </w:rPr>
            </w:pPr>
            <w:bookmarkStart w:id="4" w:name="tbt3a"/>
            <w:r>
              <w:rPr>
                <w:b/>
              </w:rPr>
              <w:t>Notified under Article 2.9.2 [</w:t>
            </w:r>
            <w:r w:rsidR="004F7FD6" w:rsidRPr="002F6A28">
              <w:rPr>
                <w:b/>
              </w:rPr>
              <w:t>X</w:t>
            </w:r>
            <w:bookmarkEnd w:id="4"/>
            <w:r w:rsidR="004F7FD6" w:rsidRPr="002F6A28">
              <w:rPr>
                <w:b/>
              </w:rPr>
              <w:t xml:space="preserve">], 2.10.1 </w:t>
            </w:r>
            <w:proofErr w:type="gramStart"/>
            <w:r w:rsidR="004F7FD6" w:rsidRPr="002F6A28">
              <w:rPr>
                <w:b/>
              </w:rPr>
              <w:t>[</w:t>
            </w:r>
            <w:r w:rsidRPr="002F6A28">
              <w:rPr>
                <w:b/>
              </w:rPr>
              <w:t> </w:t>
            </w:r>
            <w:r w:rsidR="004F7FD6" w:rsidRPr="002F6A28">
              <w:rPr>
                <w:b/>
              </w:rPr>
              <w:t>]</w:t>
            </w:r>
            <w:proofErr w:type="gramEnd"/>
            <w:r w:rsidR="004F7FD6" w:rsidRPr="002F6A28">
              <w:rPr>
                <w:b/>
              </w:rPr>
              <w:t>, 5.6.2 [</w:t>
            </w:r>
            <w:r w:rsidRPr="002F6A28">
              <w:rPr>
                <w:b/>
              </w:rPr>
              <w:t> </w:t>
            </w:r>
            <w:r w:rsidR="004F7FD6" w:rsidRPr="002F6A28">
              <w:rPr>
                <w:b/>
              </w:rPr>
              <w:t>], 5.7.1 [</w:t>
            </w:r>
            <w:r w:rsidRPr="002F6A28">
              <w:rPr>
                <w:b/>
              </w:rPr>
              <w:t> </w:t>
            </w:r>
            <w:r w:rsidR="004F7FD6" w:rsidRPr="002F6A28">
              <w:rPr>
                <w:b/>
              </w:rPr>
              <w:t>], other:</w:t>
            </w:r>
            <w:bookmarkStart w:id="5" w:name="tbt3e"/>
            <w:bookmarkEnd w:id="5"/>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9441C4" w:rsidRDefault="004F7FD6" w:rsidP="00003D3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Fertilizers and Supplements imported under HS codes: 25 -</w:t>
            </w:r>
            <w:r w:rsidR="00494A65">
              <w:t xml:space="preserve"> </w:t>
            </w:r>
            <w:r>
              <w:t>Salt; Sulphur; Earths and Stone; Plastering Materials, Lime and Cement</w:t>
            </w:r>
            <w:r w:rsidR="00016B7D">
              <w:t>;</w:t>
            </w:r>
            <w:r>
              <w:t xml:space="preserve"> 30 - Pharmaceutical Products</w:t>
            </w:r>
            <w:r w:rsidR="00016B7D">
              <w:t>;</w:t>
            </w:r>
            <w:r>
              <w:t xml:space="preserve"> 31 </w:t>
            </w:r>
            <w:r w:rsidR="00016B7D">
              <w:t>–</w:t>
            </w:r>
            <w:r>
              <w:t xml:space="preserve"> Fertilizers</w:t>
            </w:r>
            <w:r w:rsidR="00016B7D">
              <w:t>;</w:t>
            </w:r>
            <w:r>
              <w:t xml:space="preserve"> 38 - Miscellaneous chemical products</w:t>
            </w:r>
            <w:r w:rsidR="004F57AB">
              <w:t>;</w:t>
            </w:r>
            <w:r>
              <w:t xml:space="preserve"> ICS: 65.080</w:t>
            </w:r>
            <w:bookmarkStart w:id="6" w:name="sps3a"/>
            <w:bookmarkEnd w:id="6"/>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F7FD6" w:rsidP="00003D33">
            <w:pPr>
              <w:spacing w:before="120" w:after="120"/>
            </w:pPr>
            <w:r w:rsidRPr="002F6A28">
              <w:rPr>
                <w:b/>
              </w:rPr>
              <w:t xml:space="preserve">Title, number of pages and language(s) of the notified document: </w:t>
            </w:r>
            <w:r>
              <w:t>Proposed regulations to amend the Fertilizers Regulations (56 pages, available in English and French)</w:t>
            </w:r>
            <w:bookmarkStart w:id="7" w:name="sps5a"/>
            <w:bookmarkStart w:id="8" w:name="sps5b"/>
            <w:bookmarkEnd w:id="7"/>
            <w:bookmarkEnd w:id="8"/>
            <w:r w:rsidR="007478C6" w:rsidRPr="002F6A28">
              <w:t xml:space="preserve"> </w:t>
            </w:r>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t xml:space="preserve">Description of content: </w:t>
            </w:r>
            <w:r>
              <w:t xml:space="preserve">Fertilizers (substances containing plant nutrients) and supplements (substances other than fertilizers, intended to improve the physical condition of soils, or aid plant growth or crop yields) imported into or sold in Canada are regulated by the Canadian Food Inspection Agency under the </w:t>
            </w:r>
            <w:r>
              <w:rPr>
                <w:i/>
                <w:iCs/>
              </w:rPr>
              <w:t>Fertilizers Regulations</w:t>
            </w:r>
            <w:r>
              <w:t>. Regulated products include farm fertilizers, micronutrients, lawn and garden products as well as supplements such as water holding polymers, microbial inoculants, plant growth regulators, liming materials, and waste-derived materials such as composts and municipal biosolids.</w:t>
            </w:r>
          </w:p>
          <w:p w:rsidR="009441C4" w:rsidRDefault="004F7FD6" w:rsidP="00003D33">
            <w:pPr>
              <w:spacing w:after="120"/>
            </w:pPr>
            <w:r>
              <w:t xml:space="preserve">The </w:t>
            </w:r>
            <w:r>
              <w:rPr>
                <w:i/>
                <w:iCs/>
              </w:rPr>
              <w:t>Fertilizers Regulations</w:t>
            </w:r>
            <w:r>
              <w:t xml:space="preserve"> requires that all regulated fertilizer and supplement products be safe for humans, plants, animals, and the environment. They must also be properly labelled to ensure safe and appropriate use.</w:t>
            </w:r>
          </w:p>
          <w:p w:rsidR="009441C4" w:rsidRDefault="004F7FD6" w:rsidP="00003D33">
            <w:pPr>
              <w:keepNext/>
              <w:keepLines/>
              <w:spacing w:after="120"/>
            </w:pPr>
            <w:r>
              <w:lastRenderedPageBreak/>
              <w:t xml:space="preserve">Certain fertilizers and most supplements are subject to registration and require a comprehensive pre-market assessment prior to their import or sale in Canada. The pre-market assessment consists of a detailed, science-based evaluation of product safety information and labelling, which focuses on the evaluation of product safety towards humans, plants, animals and the environment. </w:t>
            </w:r>
          </w:p>
          <w:p w:rsidR="009441C4" w:rsidRDefault="004F7FD6" w:rsidP="00003D33">
            <w:pPr>
              <w:spacing w:after="120"/>
            </w:pPr>
            <w:r>
              <w:t xml:space="preserve">All regulated fertilizer and supplement products submitted to the </w:t>
            </w:r>
            <w:r>
              <w:rPr>
                <w:lang w:eastAsia="en-GB"/>
              </w:rPr>
              <w:t>Canadian Food Inspection Agency</w:t>
            </w:r>
            <w:r>
              <w:t xml:space="preserve"> for registration or approval must undergo a thorough label verification to ensure that displayed information </w:t>
            </w:r>
            <w:proofErr w:type="gramStart"/>
            <w:r>
              <w:t>is in compliance with</w:t>
            </w:r>
            <w:proofErr w:type="gramEnd"/>
            <w:r>
              <w:t xml:space="preserve"> the criteria prescribed by the </w:t>
            </w:r>
            <w:r>
              <w:rPr>
                <w:i/>
                <w:iCs/>
              </w:rPr>
              <w:t>Fertilizers Regulations</w:t>
            </w:r>
            <w:r>
              <w:t xml:space="preserve">. </w:t>
            </w:r>
          </w:p>
          <w:p w:rsidR="009441C4" w:rsidRDefault="004F7FD6" w:rsidP="00003D33">
            <w:pPr>
              <w:spacing w:after="120"/>
            </w:pPr>
            <w:r>
              <w:t>Products that are exempt from registration are still subject to regulation and must meet all the prescribed standards at the time of sale or import.</w:t>
            </w:r>
          </w:p>
          <w:p w:rsidR="009441C4" w:rsidRDefault="004F7FD6" w:rsidP="00003D33">
            <w:pPr>
              <w:spacing w:after="120"/>
            </w:pPr>
            <w:r>
              <w:rPr>
                <w:lang w:eastAsia="en-GB"/>
              </w:rPr>
              <w:t xml:space="preserve">The Canadian Food Inspection Agency is proposing amendments to the </w:t>
            </w:r>
            <w:r>
              <w:rPr>
                <w:i/>
                <w:iCs/>
                <w:lang w:eastAsia="en-GB"/>
              </w:rPr>
              <w:t>Fertilizers Regulations</w:t>
            </w:r>
            <w:r>
              <w:rPr>
                <w:lang w:eastAsia="en-GB"/>
              </w:rPr>
              <w:t xml:space="preserve">. The proposed amendments include: </w:t>
            </w:r>
          </w:p>
          <w:p w:rsidR="009441C4" w:rsidRDefault="004F7FD6" w:rsidP="00003D33">
            <w:pPr>
              <w:numPr>
                <w:ilvl w:val="0"/>
                <w:numId w:val="16"/>
              </w:numPr>
              <w:spacing w:after="120"/>
            </w:pPr>
            <w:r>
              <w:rPr>
                <w:lang w:eastAsia="en-GB"/>
              </w:rPr>
              <w:t>Regulatory changes including:</w:t>
            </w:r>
          </w:p>
          <w:p w:rsidR="009441C4" w:rsidRDefault="004F7FD6" w:rsidP="00003D33">
            <w:pPr>
              <w:numPr>
                <w:ilvl w:val="1"/>
                <w:numId w:val="16"/>
              </w:numPr>
              <w:spacing w:after="120"/>
              <w:ind w:left="720"/>
            </w:pPr>
            <w:r>
              <w:rPr>
                <w:lang w:eastAsia="en-GB"/>
              </w:rPr>
              <w:t>changes to definitions and terminologies;</w:t>
            </w:r>
          </w:p>
          <w:p w:rsidR="009441C4" w:rsidRDefault="004F7FD6" w:rsidP="00983630">
            <w:pPr>
              <w:numPr>
                <w:ilvl w:val="2"/>
                <w:numId w:val="16"/>
              </w:numPr>
              <w:spacing w:after="120"/>
              <w:ind w:left="1155" w:hanging="425"/>
            </w:pPr>
            <w:r>
              <w:rPr>
                <w:lang w:val="en-US"/>
              </w:rPr>
              <w:t>Certain product definitions would be amended, added, or removed to align with current science, industry trends and international standards;</w:t>
            </w:r>
          </w:p>
          <w:p w:rsidR="009441C4" w:rsidRDefault="004F7FD6" w:rsidP="00983630">
            <w:pPr>
              <w:numPr>
                <w:ilvl w:val="1"/>
                <w:numId w:val="16"/>
              </w:numPr>
              <w:spacing w:after="120"/>
              <w:ind w:left="1155" w:hanging="425"/>
            </w:pPr>
            <w:r>
              <w:rPr>
                <w:lang w:eastAsia="en-GB"/>
              </w:rPr>
              <w:t>general exemptions from the fertilizers framework;</w:t>
            </w:r>
          </w:p>
          <w:p w:rsidR="009441C4" w:rsidRDefault="004F7FD6" w:rsidP="00983630">
            <w:pPr>
              <w:numPr>
                <w:ilvl w:val="1"/>
                <w:numId w:val="16"/>
              </w:numPr>
              <w:spacing w:after="120"/>
              <w:ind w:left="1155" w:hanging="425"/>
            </w:pPr>
            <w:r>
              <w:rPr>
                <w:lang w:eastAsia="en-GB"/>
              </w:rPr>
              <w:t xml:space="preserve">exemption from registration and pre-market assessments; </w:t>
            </w:r>
          </w:p>
          <w:p w:rsidR="009441C4" w:rsidRDefault="004F7FD6" w:rsidP="00983630">
            <w:pPr>
              <w:numPr>
                <w:ilvl w:val="1"/>
                <w:numId w:val="16"/>
              </w:numPr>
              <w:spacing w:after="120"/>
              <w:ind w:left="1155" w:hanging="425"/>
            </w:pPr>
            <w:r>
              <w:rPr>
                <w:lang w:eastAsia="en-GB"/>
              </w:rPr>
              <w:t>registration requirements;</w:t>
            </w:r>
          </w:p>
          <w:p w:rsidR="009441C4" w:rsidRDefault="004F7FD6" w:rsidP="00983630">
            <w:pPr>
              <w:numPr>
                <w:ilvl w:val="1"/>
                <w:numId w:val="16"/>
              </w:numPr>
              <w:spacing w:after="120"/>
              <w:ind w:left="1155" w:hanging="425"/>
            </w:pPr>
            <w:r>
              <w:rPr>
                <w:lang w:eastAsia="en-GB"/>
              </w:rPr>
              <w:t>labelling and record keeping requirements;</w:t>
            </w:r>
          </w:p>
          <w:p w:rsidR="009441C4" w:rsidRDefault="004F7FD6" w:rsidP="00983630">
            <w:pPr>
              <w:numPr>
                <w:ilvl w:val="1"/>
                <w:numId w:val="16"/>
              </w:numPr>
              <w:spacing w:after="120"/>
              <w:ind w:left="1155" w:hanging="425"/>
            </w:pPr>
            <w:r>
              <w:rPr>
                <w:lang w:eastAsia="en-GB"/>
              </w:rPr>
              <w:t>extension of the registration period from 3 to 5 years; and</w:t>
            </w:r>
          </w:p>
          <w:p w:rsidR="009441C4" w:rsidRDefault="004F7FD6" w:rsidP="00983630">
            <w:pPr>
              <w:numPr>
                <w:ilvl w:val="1"/>
                <w:numId w:val="16"/>
              </w:numPr>
              <w:spacing w:after="120"/>
              <w:ind w:left="1155" w:hanging="425"/>
            </w:pPr>
            <w:r>
              <w:rPr>
                <w:lang w:eastAsia="en-GB"/>
              </w:rPr>
              <w:t>incorporation by reference of a List of Primary fertilizer and supplement materials exempt from registration.</w:t>
            </w:r>
          </w:p>
          <w:p w:rsidR="009441C4" w:rsidRDefault="004F7FD6" w:rsidP="00003D33">
            <w:pPr>
              <w:spacing w:after="120"/>
            </w:pPr>
            <w:r>
              <w:rPr>
                <w:lang w:eastAsia="en-GB"/>
              </w:rPr>
              <w:t>Additional non-regulatory changes are also proposed in a shift towards more risk-based approaches including policy and administrative refinements to streamline the product registration process and reduce burden on regulated parties. A fundamental component of these non-regulatory changes is the implementation of a risk-based tiered registration process.</w:t>
            </w:r>
            <w:bookmarkStart w:id="9" w:name="sps6a"/>
            <w:bookmarkEnd w:id="9"/>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t xml:space="preserve">Objective and rationale, including the nature of urgent problems where applicable: </w:t>
            </w:r>
            <w:r>
              <w:rPr>
                <w:lang w:eastAsia="en-GB"/>
              </w:rPr>
              <w:t xml:space="preserve">The </w:t>
            </w:r>
            <w:r>
              <w:rPr>
                <w:i/>
                <w:iCs/>
                <w:lang w:eastAsia="en-GB"/>
              </w:rPr>
              <w:t>Fertilizers Regulations</w:t>
            </w:r>
            <w:r>
              <w:rPr>
                <w:lang w:eastAsia="en-GB"/>
              </w:rPr>
              <w:t xml:space="preserve"> are </w:t>
            </w:r>
            <w:r>
              <w:t>designed to safeguard Canada</w:t>
            </w:r>
            <w:r w:rsidR="007478C6">
              <w:t>'</w:t>
            </w:r>
            <w:r>
              <w:t>s food supply, protect the health of animals and plants and enhance the well-being of Canada's people, environment and economy.</w:t>
            </w:r>
          </w:p>
          <w:p w:rsidR="009441C4" w:rsidRDefault="004F7FD6" w:rsidP="00003D33">
            <w:pPr>
              <w:spacing w:after="120"/>
            </w:pPr>
            <w:r>
              <w:rPr>
                <w:lang w:eastAsia="en-GB"/>
              </w:rPr>
              <w:t xml:space="preserve">The proposed amendments to the </w:t>
            </w:r>
            <w:r>
              <w:rPr>
                <w:i/>
                <w:iCs/>
                <w:lang w:eastAsia="en-GB"/>
              </w:rPr>
              <w:t>Fertilizers Regulations</w:t>
            </w:r>
            <w:r>
              <w:rPr>
                <w:lang w:eastAsia="en-GB"/>
              </w:rPr>
              <w:t xml:space="preserve"> are the result of a systematic review conducted by the Canadian Food Inspection Agency, which identified the need to align pre-market oversight, eliminate inconsistencies, reduce unnecessary burden and increase international harmonization and alignment. The proposed amendments will better reflect modern science, current manufacturing practises, and industry trends. They will address emerging risks associated with fertilizer and supplements by enabling the Canadian Food Inspection Agency to undertake risk - based regulatory approaches and pre-market oversight based on the risk profile and exposure pattern of these products. </w:t>
            </w:r>
            <w:bookmarkStart w:id="10" w:name="sps7f"/>
            <w:bookmarkEnd w:id="10"/>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F7FD6" w:rsidP="00003D33">
            <w:pPr>
              <w:spacing w:before="120" w:after="120"/>
            </w:pPr>
            <w:r w:rsidRPr="002F6A28">
              <w:rPr>
                <w:b/>
              </w:rPr>
              <w:t>Relevant documents:</w:t>
            </w:r>
            <w:r w:rsidRPr="002F6A28">
              <w:t xml:space="preserve"> </w:t>
            </w:r>
          </w:p>
          <w:p w:rsidR="00F85C99" w:rsidRPr="002F6A28" w:rsidRDefault="004F7FD6" w:rsidP="00003D33">
            <w:pPr>
              <w:numPr>
                <w:ilvl w:val="0"/>
                <w:numId w:val="17"/>
              </w:numPr>
              <w:spacing w:after="120"/>
            </w:pPr>
            <w:r>
              <w:rPr>
                <w:lang w:eastAsia="en-GB"/>
              </w:rPr>
              <w:t>Canada Gazette, Part I, 8 December 2018, Pages 4350-4405 (Available in English and French)</w:t>
            </w:r>
          </w:p>
        </w:tc>
      </w:tr>
      <w:tr w:rsidR="009441C4" w:rsidTr="0069259F">
        <w:tc>
          <w:tcPr>
            <w:tcW w:w="713" w:type="dxa"/>
            <w:tcBorders>
              <w:top w:val="single" w:sz="6" w:space="0" w:color="auto"/>
              <w:bottom w:val="single" w:sz="6" w:space="0" w:color="auto"/>
            </w:tcBorders>
            <w:shd w:val="clear" w:color="auto" w:fill="auto"/>
          </w:tcPr>
          <w:p w:rsidR="00EE3A11" w:rsidRPr="002F6A28" w:rsidRDefault="004F7FD6" w:rsidP="00003D3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F7FD6" w:rsidP="00003D33">
            <w:pPr>
              <w:spacing w:before="120" w:after="120"/>
            </w:pPr>
            <w:r w:rsidRPr="002F6A28">
              <w:rPr>
                <w:b/>
              </w:rPr>
              <w:t>Proposed date of adoption:</w:t>
            </w:r>
            <w:bookmarkStart w:id="11" w:name="sps10b"/>
            <w:r w:rsidR="007478C6" w:rsidRPr="002F6A28">
              <w:rPr>
                <w:b/>
              </w:rPr>
              <w:t xml:space="preserve"> </w:t>
            </w:r>
            <w:r w:rsidRPr="002F6A28">
              <w:t>Early 2020</w:t>
            </w:r>
          </w:p>
          <w:bookmarkEnd w:id="11"/>
          <w:p w:rsidR="00EE3A11" w:rsidRPr="002F6A28" w:rsidRDefault="004F7FD6" w:rsidP="00003D33">
            <w:pPr>
              <w:spacing w:after="120"/>
            </w:pPr>
            <w:r w:rsidRPr="002F6A28">
              <w:rPr>
                <w:b/>
              </w:rPr>
              <w:t>Proposed date of entry into force:</w:t>
            </w:r>
            <w:bookmarkStart w:id="12" w:name="sps11b"/>
            <w:r w:rsidR="007478C6" w:rsidRPr="002F6A28">
              <w:rPr>
                <w:b/>
              </w:rPr>
              <w:t xml:space="preserve"> </w:t>
            </w:r>
            <w:r w:rsidRPr="002F6A28">
              <w:t>On the day in which the amendments to the Fertilizers Regulations are adopted, with a 3-year phase in period.</w:t>
            </w:r>
            <w:bookmarkEnd w:id="12"/>
          </w:p>
        </w:tc>
      </w:tr>
      <w:tr w:rsidR="009441C4" w:rsidTr="0069259F">
        <w:tc>
          <w:tcPr>
            <w:tcW w:w="713" w:type="dxa"/>
            <w:tcBorders>
              <w:top w:val="single" w:sz="6" w:space="0" w:color="auto"/>
              <w:bottom w:val="single" w:sz="6" w:space="0" w:color="auto"/>
            </w:tcBorders>
            <w:shd w:val="clear" w:color="auto" w:fill="auto"/>
          </w:tcPr>
          <w:p w:rsidR="00F85C99" w:rsidRPr="002F6A28" w:rsidRDefault="004F7FD6" w:rsidP="00003D3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F7FD6" w:rsidP="00003D33">
            <w:pPr>
              <w:spacing w:before="120" w:after="120"/>
            </w:pPr>
            <w:r w:rsidRPr="002F6A28">
              <w:rPr>
                <w:b/>
              </w:rPr>
              <w:t xml:space="preserve">Final date for comments: </w:t>
            </w:r>
            <w:r>
              <w:t>21 February 2019</w:t>
            </w:r>
            <w:bookmarkStart w:id="13" w:name="sps12a"/>
            <w:bookmarkEnd w:id="13"/>
          </w:p>
        </w:tc>
      </w:tr>
      <w:tr w:rsidR="009441C4" w:rsidTr="0069259F">
        <w:tc>
          <w:tcPr>
            <w:tcW w:w="713" w:type="dxa"/>
            <w:tcBorders>
              <w:top w:val="single" w:sz="6" w:space="0" w:color="auto"/>
            </w:tcBorders>
            <w:shd w:val="clear" w:color="auto" w:fill="auto"/>
          </w:tcPr>
          <w:p w:rsidR="00F85C99" w:rsidRPr="002F6A28" w:rsidRDefault="004F7FD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F7FD6"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661AC9" w:rsidRDefault="004F7FD6" w:rsidP="00E969D2">
            <w:pPr>
              <w:keepNext/>
              <w:keepLines/>
              <w:spacing w:after="120"/>
              <w:jc w:val="left"/>
            </w:pPr>
            <w:r>
              <w:t>The electronic version of the proposed policy document can be found at:</w:t>
            </w:r>
          </w:p>
          <w:p w:rsidR="00F85C99" w:rsidRPr="002F6A28" w:rsidRDefault="006A6077" w:rsidP="00E969D2">
            <w:pPr>
              <w:keepNext/>
              <w:keepLines/>
              <w:spacing w:after="120"/>
              <w:jc w:val="left"/>
            </w:pPr>
            <w:hyperlink r:id="rId7" w:tgtFrame="_blank" w:history="1">
              <w:r w:rsidR="004F7FD6">
                <w:rPr>
                  <w:color w:val="0000FF"/>
                  <w:u w:val="single"/>
                </w:rPr>
                <w:t>http://www.gazette.gc.ca/rp-pr/p1/2018/2018-12-08/html/reg1-eng.html</w:t>
              </w:r>
            </w:hyperlink>
          </w:p>
          <w:p w:rsidR="009441C4" w:rsidRDefault="006A6077">
            <w:pPr>
              <w:spacing w:after="120"/>
              <w:jc w:val="left"/>
            </w:pPr>
            <w:hyperlink r:id="rId8" w:tgtFrame="_blank" w:history="1">
              <w:r w:rsidR="004F7FD6">
                <w:rPr>
                  <w:color w:val="0000FF"/>
                  <w:u w:val="single"/>
                </w:rPr>
                <w:t>http://www.gazette.gc.ca/rp-pr/p1/2018/2018-12-08/html/reg1-fra.html</w:t>
              </w:r>
            </w:hyperlink>
          </w:p>
        </w:tc>
      </w:tr>
    </w:tbl>
    <w:p w:rsidR="00EE3A11" w:rsidRPr="002F6A28" w:rsidRDefault="006A6077" w:rsidP="002F6A28"/>
    <w:sectPr w:rsidR="00EE3A11" w:rsidRPr="002F6A28" w:rsidSect="004B18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BD" w:rsidRDefault="004F7FD6">
      <w:r>
        <w:separator/>
      </w:r>
    </w:p>
  </w:endnote>
  <w:endnote w:type="continuationSeparator" w:id="0">
    <w:p w:rsidR="00A93DBD" w:rsidRDefault="004F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1819" w:rsidRDefault="004B1819" w:rsidP="004B181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1819" w:rsidRDefault="004B1819" w:rsidP="004B181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F7FD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BD" w:rsidRDefault="004F7FD6">
      <w:r>
        <w:separator/>
      </w:r>
    </w:p>
  </w:footnote>
  <w:footnote w:type="continuationSeparator" w:id="0">
    <w:p w:rsidR="00A93DBD" w:rsidRDefault="004F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19" w:rsidRPr="004B1819" w:rsidRDefault="004B1819" w:rsidP="004B1819">
    <w:pPr>
      <w:pStyle w:val="En-tte"/>
      <w:pBdr>
        <w:bottom w:val="single" w:sz="4" w:space="1" w:color="auto"/>
      </w:pBdr>
      <w:tabs>
        <w:tab w:val="clear" w:pos="4513"/>
        <w:tab w:val="clear" w:pos="9027"/>
      </w:tabs>
      <w:jc w:val="center"/>
    </w:pPr>
    <w:r w:rsidRPr="004B1819">
      <w:t>G/TBT/N/CAN/571</w:t>
    </w:r>
  </w:p>
  <w:p w:rsidR="004B1819" w:rsidRPr="004B1819" w:rsidRDefault="004B1819" w:rsidP="004B1819">
    <w:pPr>
      <w:pStyle w:val="En-tte"/>
      <w:pBdr>
        <w:bottom w:val="single" w:sz="4" w:space="1" w:color="auto"/>
      </w:pBdr>
      <w:tabs>
        <w:tab w:val="clear" w:pos="4513"/>
        <w:tab w:val="clear" w:pos="9027"/>
      </w:tabs>
      <w:jc w:val="center"/>
    </w:pPr>
  </w:p>
  <w:p w:rsidR="004B1819" w:rsidRPr="004B1819" w:rsidRDefault="004B1819" w:rsidP="004B1819">
    <w:pPr>
      <w:pStyle w:val="En-tte"/>
      <w:pBdr>
        <w:bottom w:val="single" w:sz="4" w:space="1" w:color="auto"/>
      </w:pBdr>
      <w:tabs>
        <w:tab w:val="clear" w:pos="4513"/>
        <w:tab w:val="clear" w:pos="9027"/>
      </w:tabs>
      <w:jc w:val="center"/>
    </w:pPr>
    <w:r w:rsidRPr="004B1819">
      <w:t xml:space="preserve">- </w:t>
    </w:r>
    <w:r w:rsidRPr="004B1819">
      <w:fldChar w:fldCharType="begin"/>
    </w:r>
    <w:r w:rsidRPr="004B1819">
      <w:instrText xml:space="preserve"> PAGE </w:instrText>
    </w:r>
    <w:r w:rsidRPr="004B1819">
      <w:fldChar w:fldCharType="separate"/>
    </w:r>
    <w:r w:rsidR="006A6077">
      <w:rPr>
        <w:noProof/>
      </w:rPr>
      <w:t>2</w:t>
    </w:r>
    <w:r w:rsidRPr="004B1819">
      <w:fldChar w:fldCharType="end"/>
    </w:r>
    <w:r w:rsidRPr="004B1819">
      <w:t xml:space="preserve"> -</w:t>
    </w:r>
  </w:p>
  <w:p w:rsidR="009239F7" w:rsidRPr="004B1819" w:rsidRDefault="006A6077" w:rsidP="004B181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19" w:rsidRPr="004B1819" w:rsidRDefault="004B1819" w:rsidP="004B1819">
    <w:pPr>
      <w:pStyle w:val="En-tte"/>
      <w:pBdr>
        <w:bottom w:val="single" w:sz="4" w:space="1" w:color="auto"/>
      </w:pBdr>
      <w:tabs>
        <w:tab w:val="clear" w:pos="4513"/>
        <w:tab w:val="clear" w:pos="9027"/>
      </w:tabs>
      <w:jc w:val="center"/>
    </w:pPr>
    <w:r w:rsidRPr="004B1819">
      <w:t>G/TBT/N/CAN/571</w:t>
    </w:r>
  </w:p>
  <w:p w:rsidR="004B1819" w:rsidRPr="004B1819" w:rsidRDefault="004B1819" w:rsidP="004B1819">
    <w:pPr>
      <w:pStyle w:val="En-tte"/>
      <w:pBdr>
        <w:bottom w:val="single" w:sz="4" w:space="1" w:color="auto"/>
      </w:pBdr>
      <w:tabs>
        <w:tab w:val="clear" w:pos="4513"/>
        <w:tab w:val="clear" w:pos="9027"/>
      </w:tabs>
      <w:jc w:val="center"/>
    </w:pPr>
  </w:p>
  <w:p w:rsidR="004B1819" w:rsidRPr="004B1819" w:rsidRDefault="004B1819" w:rsidP="004B1819">
    <w:pPr>
      <w:pStyle w:val="En-tte"/>
      <w:pBdr>
        <w:bottom w:val="single" w:sz="4" w:space="1" w:color="auto"/>
      </w:pBdr>
      <w:tabs>
        <w:tab w:val="clear" w:pos="4513"/>
        <w:tab w:val="clear" w:pos="9027"/>
      </w:tabs>
      <w:jc w:val="center"/>
    </w:pPr>
    <w:r w:rsidRPr="004B1819">
      <w:t xml:space="preserve">- </w:t>
    </w:r>
    <w:r w:rsidRPr="004B1819">
      <w:fldChar w:fldCharType="begin"/>
    </w:r>
    <w:r w:rsidRPr="004B1819">
      <w:instrText xml:space="preserve"> PAGE </w:instrText>
    </w:r>
    <w:r w:rsidRPr="004B1819">
      <w:fldChar w:fldCharType="separate"/>
    </w:r>
    <w:r w:rsidR="006A6077">
      <w:rPr>
        <w:noProof/>
      </w:rPr>
      <w:t>3</w:t>
    </w:r>
    <w:r w:rsidRPr="004B1819">
      <w:fldChar w:fldCharType="end"/>
    </w:r>
    <w:r w:rsidRPr="004B1819">
      <w:t xml:space="preserve"> -</w:t>
    </w:r>
  </w:p>
  <w:p w:rsidR="009239F7" w:rsidRPr="004B1819" w:rsidRDefault="006A6077" w:rsidP="004B181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41C4" w:rsidTr="008612A9">
      <w:trPr>
        <w:trHeight w:val="240"/>
        <w:jc w:val="center"/>
      </w:trPr>
      <w:tc>
        <w:tcPr>
          <w:tcW w:w="3794" w:type="dxa"/>
          <w:shd w:val="clear" w:color="auto" w:fill="FFFFFF"/>
          <w:tcMar>
            <w:left w:w="108" w:type="dxa"/>
            <w:right w:w="108" w:type="dxa"/>
          </w:tcMar>
          <w:vAlign w:val="center"/>
        </w:tcPr>
        <w:p w:rsidR="00ED54E0" w:rsidRPr="009239F7" w:rsidRDefault="006A6077"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4B1819" w:rsidP="00B801E9">
          <w:pPr>
            <w:jc w:val="right"/>
            <w:rPr>
              <w:b/>
              <w:color w:val="FF0000"/>
              <w:szCs w:val="16"/>
            </w:rPr>
          </w:pPr>
          <w:r>
            <w:rPr>
              <w:b/>
              <w:color w:val="FF0000"/>
              <w:szCs w:val="16"/>
            </w:rPr>
            <w:t xml:space="preserve"> </w:t>
          </w:r>
        </w:p>
      </w:tc>
    </w:tr>
    <w:bookmarkEnd w:id="15"/>
    <w:tr w:rsidR="009441C4" w:rsidTr="008612A9">
      <w:trPr>
        <w:trHeight w:val="213"/>
        <w:jc w:val="center"/>
      </w:trPr>
      <w:tc>
        <w:tcPr>
          <w:tcW w:w="3794" w:type="dxa"/>
          <w:vMerge w:val="restart"/>
          <w:shd w:val="clear" w:color="auto" w:fill="FFFFFF"/>
          <w:tcMar>
            <w:left w:w="0" w:type="dxa"/>
            <w:right w:w="0" w:type="dxa"/>
          </w:tcMar>
        </w:tcPr>
        <w:p w:rsidR="00ED54E0" w:rsidRPr="009239F7" w:rsidRDefault="00DD68E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A6077" w:rsidP="00B801E9">
          <w:pPr>
            <w:jc w:val="right"/>
            <w:rPr>
              <w:b/>
              <w:szCs w:val="16"/>
            </w:rPr>
          </w:pPr>
        </w:p>
      </w:tc>
    </w:tr>
    <w:tr w:rsidR="009441C4" w:rsidTr="008612A9">
      <w:trPr>
        <w:trHeight w:val="868"/>
        <w:jc w:val="center"/>
      </w:trPr>
      <w:tc>
        <w:tcPr>
          <w:tcW w:w="3794" w:type="dxa"/>
          <w:vMerge/>
          <w:shd w:val="clear" w:color="auto" w:fill="FFFFFF"/>
          <w:tcMar>
            <w:left w:w="108" w:type="dxa"/>
            <w:right w:w="108" w:type="dxa"/>
          </w:tcMar>
        </w:tcPr>
        <w:p w:rsidR="00ED54E0" w:rsidRPr="009239F7" w:rsidRDefault="006A6077" w:rsidP="00B801E9">
          <w:pPr>
            <w:jc w:val="left"/>
            <w:rPr>
              <w:noProof/>
              <w:lang w:eastAsia="en-GB"/>
            </w:rPr>
          </w:pPr>
        </w:p>
      </w:tc>
      <w:tc>
        <w:tcPr>
          <w:tcW w:w="5448" w:type="dxa"/>
          <w:gridSpan w:val="2"/>
          <w:shd w:val="clear" w:color="auto" w:fill="FFFFFF"/>
          <w:tcMar>
            <w:left w:w="108" w:type="dxa"/>
            <w:right w:w="108" w:type="dxa"/>
          </w:tcMar>
        </w:tcPr>
        <w:p w:rsidR="004B1819" w:rsidRDefault="004B1819" w:rsidP="00B801E9">
          <w:pPr>
            <w:jc w:val="right"/>
            <w:rPr>
              <w:b/>
              <w:szCs w:val="16"/>
            </w:rPr>
          </w:pPr>
          <w:bookmarkStart w:id="16" w:name="bmkSymbols"/>
          <w:r>
            <w:rPr>
              <w:b/>
              <w:szCs w:val="16"/>
            </w:rPr>
            <w:t>G/TBT/N/CAN/571</w:t>
          </w:r>
        </w:p>
        <w:bookmarkEnd w:id="16"/>
        <w:p w:rsidR="00ED54E0" w:rsidRPr="009239F7" w:rsidRDefault="006A6077" w:rsidP="00B801E9">
          <w:pPr>
            <w:jc w:val="right"/>
            <w:rPr>
              <w:b/>
              <w:szCs w:val="16"/>
            </w:rPr>
          </w:pPr>
        </w:p>
      </w:tc>
    </w:tr>
    <w:tr w:rsidR="009441C4" w:rsidTr="008612A9">
      <w:trPr>
        <w:trHeight w:val="240"/>
        <w:jc w:val="center"/>
      </w:trPr>
      <w:tc>
        <w:tcPr>
          <w:tcW w:w="3794" w:type="dxa"/>
          <w:vMerge/>
          <w:shd w:val="clear" w:color="auto" w:fill="FFFFFF"/>
          <w:tcMar>
            <w:left w:w="108" w:type="dxa"/>
            <w:right w:w="108" w:type="dxa"/>
          </w:tcMar>
          <w:vAlign w:val="center"/>
        </w:tcPr>
        <w:p w:rsidR="00ED54E0" w:rsidRPr="009239F7" w:rsidRDefault="006A6077" w:rsidP="00B801E9"/>
      </w:tc>
      <w:tc>
        <w:tcPr>
          <w:tcW w:w="5448" w:type="dxa"/>
          <w:gridSpan w:val="2"/>
          <w:shd w:val="clear" w:color="auto" w:fill="FFFFFF"/>
          <w:tcMar>
            <w:left w:w="108" w:type="dxa"/>
            <w:right w:w="108" w:type="dxa"/>
          </w:tcMar>
          <w:vAlign w:val="center"/>
        </w:tcPr>
        <w:p w:rsidR="00ED54E0" w:rsidRPr="009239F7" w:rsidRDefault="006A6077" w:rsidP="00B801E9">
          <w:pPr>
            <w:jc w:val="right"/>
            <w:rPr>
              <w:szCs w:val="16"/>
            </w:rPr>
          </w:pPr>
          <w:bookmarkStart w:id="17" w:name="spsDateDistribution"/>
          <w:bookmarkStart w:id="18" w:name="bmkDate"/>
          <w:bookmarkEnd w:id="17"/>
          <w:bookmarkEnd w:id="18"/>
          <w:r>
            <w:rPr>
              <w:szCs w:val="16"/>
            </w:rPr>
            <w:t xml:space="preserve">11 December </w:t>
          </w:r>
          <w:r>
            <w:rPr>
              <w:szCs w:val="16"/>
            </w:rPr>
            <w:t>2018</w:t>
          </w:r>
          <w:bookmarkStart w:id="19" w:name="_GoBack"/>
          <w:bookmarkEnd w:id="19"/>
        </w:p>
      </w:tc>
    </w:tr>
    <w:tr w:rsidR="009441C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F7FD6" w:rsidP="0097650D">
          <w:pPr>
            <w:jc w:val="left"/>
            <w:rPr>
              <w:b/>
            </w:rPr>
          </w:pPr>
          <w:bookmarkStart w:id="20" w:name="bmkSerial"/>
          <w:r w:rsidRPr="002F6A28">
            <w:rPr>
              <w:color w:val="FF0000"/>
              <w:szCs w:val="16"/>
            </w:rPr>
            <w:t>(</w:t>
          </w:r>
          <w:bookmarkStart w:id="21" w:name="spsSerialNumber"/>
          <w:bookmarkEnd w:id="21"/>
          <w:r w:rsidR="006A6077">
            <w:rPr>
              <w:color w:val="FF0000"/>
              <w:szCs w:val="16"/>
            </w:rPr>
            <w:t>18-7827</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4F7FD6"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A607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A6077">
            <w:rPr>
              <w:bCs/>
              <w:noProof/>
              <w:szCs w:val="16"/>
            </w:rPr>
            <w:t>3</w:t>
          </w:r>
          <w:r w:rsidRPr="002F6A28">
            <w:rPr>
              <w:bCs/>
              <w:szCs w:val="16"/>
            </w:rPr>
            <w:fldChar w:fldCharType="end"/>
          </w:r>
          <w:bookmarkEnd w:id="22"/>
        </w:p>
      </w:tc>
    </w:tr>
    <w:tr w:rsidR="009441C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1819"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4B1819" w:rsidP="00B801E9">
          <w:pPr>
            <w:jc w:val="right"/>
            <w:rPr>
              <w:bCs/>
              <w:szCs w:val="18"/>
            </w:rPr>
          </w:pPr>
          <w:bookmarkStart w:id="24" w:name="bmkLanguage"/>
          <w:r>
            <w:rPr>
              <w:bCs/>
              <w:szCs w:val="18"/>
            </w:rPr>
            <w:t>Original: English/French</w:t>
          </w:r>
          <w:bookmarkEnd w:id="24"/>
        </w:p>
      </w:tc>
    </w:tr>
  </w:tbl>
  <w:p w:rsidR="00ED54E0" w:rsidRPr="002F6A28" w:rsidRDefault="006A60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3814BA">
      <w:start w:val="1"/>
      <w:numFmt w:val="decimal"/>
      <w:pStyle w:val="SummaryText"/>
      <w:lvlText w:val="%1."/>
      <w:lvlJc w:val="left"/>
      <w:pPr>
        <w:ind w:left="360" w:hanging="360"/>
      </w:pPr>
    </w:lvl>
    <w:lvl w:ilvl="1" w:tplc="71AAE91C" w:tentative="1">
      <w:start w:val="1"/>
      <w:numFmt w:val="lowerLetter"/>
      <w:lvlText w:val="%2."/>
      <w:lvlJc w:val="left"/>
      <w:pPr>
        <w:ind w:left="1080" w:hanging="360"/>
      </w:pPr>
    </w:lvl>
    <w:lvl w:ilvl="2" w:tplc="86EC8BC6" w:tentative="1">
      <w:start w:val="1"/>
      <w:numFmt w:val="lowerRoman"/>
      <w:lvlText w:val="%3."/>
      <w:lvlJc w:val="right"/>
      <w:pPr>
        <w:ind w:left="1800" w:hanging="180"/>
      </w:pPr>
    </w:lvl>
    <w:lvl w:ilvl="3" w:tplc="98C8C9A4" w:tentative="1">
      <w:start w:val="1"/>
      <w:numFmt w:val="decimal"/>
      <w:lvlText w:val="%4."/>
      <w:lvlJc w:val="left"/>
      <w:pPr>
        <w:ind w:left="2520" w:hanging="360"/>
      </w:pPr>
    </w:lvl>
    <w:lvl w:ilvl="4" w:tplc="2010577C" w:tentative="1">
      <w:start w:val="1"/>
      <w:numFmt w:val="lowerLetter"/>
      <w:lvlText w:val="%5."/>
      <w:lvlJc w:val="left"/>
      <w:pPr>
        <w:ind w:left="3240" w:hanging="360"/>
      </w:pPr>
    </w:lvl>
    <w:lvl w:ilvl="5" w:tplc="86B43158" w:tentative="1">
      <w:start w:val="1"/>
      <w:numFmt w:val="lowerRoman"/>
      <w:lvlText w:val="%6."/>
      <w:lvlJc w:val="right"/>
      <w:pPr>
        <w:ind w:left="3960" w:hanging="180"/>
      </w:pPr>
    </w:lvl>
    <w:lvl w:ilvl="6" w:tplc="50263930" w:tentative="1">
      <w:start w:val="1"/>
      <w:numFmt w:val="decimal"/>
      <w:lvlText w:val="%7."/>
      <w:lvlJc w:val="left"/>
      <w:pPr>
        <w:ind w:left="4680" w:hanging="360"/>
      </w:pPr>
    </w:lvl>
    <w:lvl w:ilvl="7" w:tplc="4BB265AA" w:tentative="1">
      <w:start w:val="1"/>
      <w:numFmt w:val="lowerLetter"/>
      <w:lvlText w:val="%8."/>
      <w:lvlJc w:val="left"/>
      <w:pPr>
        <w:ind w:left="5400" w:hanging="360"/>
      </w:pPr>
    </w:lvl>
    <w:lvl w:ilvl="8" w:tplc="C8A030B2" w:tentative="1">
      <w:start w:val="1"/>
      <w:numFmt w:val="lowerRoman"/>
      <w:lvlText w:val="%9."/>
      <w:lvlJc w:val="right"/>
      <w:pPr>
        <w:ind w:left="6120" w:hanging="180"/>
      </w:pPr>
    </w:lvl>
  </w:abstractNum>
  <w:abstractNum w:abstractNumId="14" w15:restartNumberingAfterBreak="0">
    <w:nsid w:val="63D526BB"/>
    <w:multiLevelType w:val="hybridMultilevel"/>
    <w:tmpl w:val="A1048E62"/>
    <w:lvl w:ilvl="0" w:tplc="5D3C21B0">
      <w:start w:val="1"/>
      <w:numFmt w:val="bullet"/>
      <w:lvlText w:val=""/>
      <w:lvlJc w:val="left"/>
      <w:pPr>
        <w:tabs>
          <w:tab w:val="num" w:pos="720"/>
        </w:tabs>
        <w:ind w:left="720" w:hanging="360"/>
      </w:pPr>
      <w:rPr>
        <w:rFonts w:ascii="Symbol" w:hAnsi="Symbol"/>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71DCA584">
      <w:start w:val="1"/>
      <w:numFmt w:val="bullet"/>
      <w:lvlText w:val=""/>
      <w:lvlJc w:val="left"/>
      <w:pPr>
        <w:tabs>
          <w:tab w:val="num" w:pos="2880"/>
        </w:tabs>
        <w:ind w:left="2880" w:hanging="360"/>
      </w:pPr>
      <w:rPr>
        <w:rFonts w:ascii="Symbol" w:hAnsi="Symbol"/>
      </w:rPr>
    </w:lvl>
    <w:lvl w:ilvl="4" w:tplc="4C469A38">
      <w:start w:val="1"/>
      <w:numFmt w:val="bullet"/>
      <w:lvlText w:val="o"/>
      <w:lvlJc w:val="left"/>
      <w:pPr>
        <w:tabs>
          <w:tab w:val="num" w:pos="3600"/>
        </w:tabs>
        <w:ind w:left="3600" w:hanging="360"/>
      </w:pPr>
      <w:rPr>
        <w:rFonts w:ascii="Courier New" w:hAnsi="Courier New"/>
      </w:rPr>
    </w:lvl>
    <w:lvl w:ilvl="5" w:tplc="FE189E36">
      <w:start w:val="1"/>
      <w:numFmt w:val="bullet"/>
      <w:lvlText w:val=""/>
      <w:lvlJc w:val="left"/>
      <w:pPr>
        <w:tabs>
          <w:tab w:val="num" w:pos="4320"/>
        </w:tabs>
        <w:ind w:left="4320" w:hanging="360"/>
      </w:pPr>
      <w:rPr>
        <w:rFonts w:ascii="Wingdings" w:hAnsi="Wingdings"/>
      </w:rPr>
    </w:lvl>
    <w:lvl w:ilvl="6" w:tplc="1AC44F86">
      <w:start w:val="1"/>
      <w:numFmt w:val="bullet"/>
      <w:lvlText w:val=""/>
      <w:lvlJc w:val="left"/>
      <w:pPr>
        <w:tabs>
          <w:tab w:val="num" w:pos="5040"/>
        </w:tabs>
        <w:ind w:left="5040" w:hanging="360"/>
      </w:pPr>
      <w:rPr>
        <w:rFonts w:ascii="Symbol" w:hAnsi="Symbol"/>
      </w:rPr>
    </w:lvl>
    <w:lvl w:ilvl="7" w:tplc="2C948CB2">
      <w:start w:val="1"/>
      <w:numFmt w:val="bullet"/>
      <w:lvlText w:val="o"/>
      <w:lvlJc w:val="left"/>
      <w:pPr>
        <w:tabs>
          <w:tab w:val="num" w:pos="5760"/>
        </w:tabs>
        <w:ind w:left="5760" w:hanging="360"/>
      </w:pPr>
      <w:rPr>
        <w:rFonts w:ascii="Courier New" w:hAnsi="Courier New"/>
      </w:rPr>
    </w:lvl>
    <w:lvl w:ilvl="8" w:tplc="166803D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54A0DDC">
      <w:start w:val="1"/>
      <w:numFmt w:val="bullet"/>
      <w:lvlText w:val=""/>
      <w:lvlJc w:val="left"/>
      <w:pPr>
        <w:tabs>
          <w:tab w:val="num" w:pos="720"/>
        </w:tabs>
        <w:ind w:left="720" w:hanging="360"/>
      </w:pPr>
      <w:rPr>
        <w:rFonts w:ascii="Symbol" w:hAnsi="Symbol"/>
      </w:rPr>
    </w:lvl>
    <w:lvl w:ilvl="1" w:tplc="F50A32DC">
      <w:start w:val="1"/>
      <w:numFmt w:val="bullet"/>
      <w:lvlText w:val="o"/>
      <w:lvlJc w:val="left"/>
      <w:pPr>
        <w:tabs>
          <w:tab w:val="num" w:pos="1440"/>
        </w:tabs>
        <w:ind w:left="1440" w:hanging="360"/>
      </w:pPr>
      <w:rPr>
        <w:rFonts w:ascii="Courier New" w:hAnsi="Courier New"/>
      </w:rPr>
    </w:lvl>
    <w:lvl w:ilvl="2" w:tplc="AF1681B2">
      <w:start w:val="1"/>
      <w:numFmt w:val="bullet"/>
      <w:lvlText w:val=""/>
      <w:lvlJc w:val="left"/>
      <w:pPr>
        <w:tabs>
          <w:tab w:val="num" w:pos="2160"/>
        </w:tabs>
        <w:ind w:left="2160" w:hanging="360"/>
      </w:pPr>
      <w:rPr>
        <w:rFonts w:ascii="Wingdings" w:hAnsi="Wingdings"/>
      </w:rPr>
    </w:lvl>
    <w:lvl w:ilvl="3" w:tplc="1A22F1DC">
      <w:start w:val="1"/>
      <w:numFmt w:val="bullet"/>
      <w:lvlText w:val=""/>
      <w:lvlJc w:val="left"/>
      <w:pPr>
        <w:tabs>
          <w:tab w:val="num" w:pos="2880"/>
        </w:tabs>
        <w:ind w:left="2880" w:hanging="360"/>
      </w:pPr>
      <w:rPr>
        <w:rFonts w:ascii="Symbol" w:hAnsi="Symbol"/>
      </w:rPr>
    </w:lvl>
    <w:lvl w:ilvl="4" w:tplc="144AA6E0">
      <w:start w:val="1"/>
      <w:numFmt w:val="bullet"/>
      <w:lvlText w:val="o"/>
      <w:lvlJc w:val="left"/>
      <w:pPr>
        <w:tabs>
          <w:tab w:val="num" w:pos="3600"/>
        </w:tabs>
        <w:ind w:left="3600" w:hanging="360"/>
      </w:pPr>
      <w:rPr>
        <w:rFonts w:ascii="Courier New" w:hAnsi="Courier New"/>
      </w:rPr>
    </w:lvl>
    <w:lvl w:ilvl="5" w:tplc="5A60B08C">
      <w:start w:val="1"/>
      <w:numFmt w:val="bullet"/>
      <w:lvlText w:val=""/>
      <w:lvlJc w:val="left"/>
      <w:pPr>
        <w:tabs>
          <w:tab w:val="num" w:pos="4320"/>
        </w:tabs>
        <w:ind w:left="4320" w:hanging="360"/>
      </w:pPr>
      <w:rPr>
        <w:rFonts w:ascii="Wingdings" w:hAnsi="Wingdings"/>
      </w:rPr>
    </w:lvl>
    <w:lvl w:ilvl="6" w:tplc="66065BB2">
      <w:start w:val="1"/>
      <w:numFmt w:val="bullet"/>
      <w:lvlText w:val=""/>
      <w:lvlJc w:val="left"/>
      <w:pPr>
        <w:tabs>
          <w:tab w:val="num" w:pos="5040"/>
        </w:tabs>
        <w:ind w:left="5040" w:hanging="360"/>
      </w:pPr>
      <w:rPr>
        <w:rFonts w:ascii="Symbol" w:hAnsi="Symbol"/>
      </w:rPr>
    </w:lvl>
    <w:lvl w:ilvl="7" w:tplc="1E1450BA">
      <w:start w:val="1"/>
      <w:numFmt w:val="bullet"/>
      <w:lvlText w:val="o"/>
      <w:lvlJc w:val="left"/>
      <w:pPr>
        <w:tabs>
          <w:tab w:val="num" w:pos="5760"/>
        </w:tabs>
        <w:ind w:left="5760" w:hanging="360"/>
      </w:pPr>
      <w:rPr>
        <w:rFonts w:ascii="Courier New" w:hAnsi="Courier New"/>
      </w:rPr>
    </w:lvl>
    <w:lvl w:ilvl="8" w:tplc="811ECC2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C4"/>
    <w:rsid w:val="00003D33"/>
    <w:rsid w:val="00016B7D"/>
    <w:rsid w:val="000A3A17"/>
    <w:rsid w:val="00134A50"/>
    <w:rsid w:val="00367B7C"/>
    <w:rsid w:val="0037262F"/>
    <w:rsid w:val="003A5ABB"/>
    <w:rsid w:val="00417ADA"/>
    <w:rsid w:val="00494A65"/>
    <w:rsid w:val="004B1819"/>
    <w:rsid w:val="004F57AB"/>
    <w:rsid w:val="004F7FD6"/>
    <w:rsid w:val="00587A12"/>
    <w:rsid w:val="00593EA9"/>
    <w:rsid w:val="00661AC9"/>
    <w:rsid w:val="006A6077"/>
    <w:rsid w:val="006D131D"/>
    <w:rsid w:val="007478C6"/>
    <w:rsid w:val="00854E28"/>
    <w:rsid w:val="008D704F"/>
    <w:rsid w:val="009441C4"/>
    <w:rsid w:val="00983630"/>
    <w:rsid w:val="009D359E"/>
    <w:rsid w:val="00A84DD5"/>
    <w:rsid w:val="00A93DBD"/>
    <w:rsid w:val="00C14400"/>
    <w:rsid w:val="00DC7B19"/>
    <w:rsid w:val="00DD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39DE5"/>
  <w15:docId w15:val="{1178300B-125F-4C56-A2A5-5C1457D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8/2018-12-08/html/reg1-fr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zette.gc.ca/rp-pr/p1/2018/2018-12-08/html/reg1-eng.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916</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27</cp:revision>
  <dcterms:created xsi:type="dcterms:W3CDTF">2018-12-11T09:21:00Z</dcterms:created>
  <dcterms:modified xsi:type="dcterms:W3CDTF">2018-12-11T13:22:00Z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G/TBT/N/CAN/571</vt:lpwstr>
  </property>
</Properties>
</file>