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67F0E" w:rsidP="002F6A28">
      <w:pPr>
        <w:pStyle w:val="Title"/>
        <w:rPr>
          <w:caps w:val="0"/>
          <w:kern w:val="0"/>
        </w:rPr>
      </w:pPr>
      <w:r w:rsidRPr="002F6A28">
        <w:rPr>
          <w:caps w:val="0"/>
          <w:kern w:val="0"/>
        </w:rPr>
        <w:t>NOTIFICATION</w:t>
      </w:r>
    </w:p>
    <w:p w:rsidR="009239F7" w:rsidRPr="002F6A28" w:rsidRDefault="00A67F0E" w:rsidP="002F6A28">
      <w:pPr>
        <w:jc w:val="center"/>
      </w:pPr>
      <w:r w:rsidRPr="002F6A28">
        <w:t>The following notification is being circulated in accordance with Article 10.6</w:t>
      </w:r>
    </w:p>
    <w:p w:rsidR="009239F7" w:rsidRPr="002F6A28" w:rsidRDefault="00CD620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408E4" w:rsidTr="0069259F">
        <w:tc>
          <w:tcPr>
            <w:tcW w:w="713" w:type="dxa"/>
            <w:tcBorders>
              <w:bottom w:val="single" w:sz="6" w:space="0" w:color="auto"/>
            </w:tcBorders>
            <w:shd w:val="clear" w:color="auto" w:fill="auto"/>
          </w:tcPr>
          <w:p w:rsidR="00F85C99" w:rsidRPr="002F6A28" w:rsidRDefault="00A67F0E" w:rsidP="00E03B00">
            <w:pPr>
              <w:spacing w:before="120" w:after="120"/>
            </w:pPr>
            <w:bookmarkStart w:id="0" w:name="_GoBack"/>
            <w:r w:rsidRPr="002F6A28">
              <w:rPr>
                <w:b/>
              </w:rPr>
              <w:t>1.</w:t>
            </w:r>
          </w:p>
        </w:tc>
        <w:tc>
          <w:tcPr>
            <w:tcW w:w="8546" w:type="dxa"/>
            <w:tcBorders>
              <w:bottom w:val="single" w:sz="6" w:space="0" w:color="auto"/>
            </w:tcBorders>
            <w:shd w:val="clear" w:color="auto" w:fill="auto"/>
          </w:tcPr>
          <w:p w:rsidR="00F85C99" w:rsidRPr="002F6A28" w:rsidRDefault="00A67F0E" w:rsidP="00E03B00">
            <w:pPr>
              <w:spacing w:before="120" w:after="120"/>
            </w:pPr>
            <w:r w:rsidRPr="002F6A28">
              <w:rPr>
                <w:b/>
              </w:rPr>
              <w:t xml:space="preserve">Notifying Member: </w:t>
            </w:r>
            <w:bookmarkStart w:id="1" w:name="sps1a"/>
            <w:r w:rsidRPr="00812D1D">
              <w:rPr>
                <w:caps/>
                <w:u w:val="single"/>
              </w:rPr>
              <w:t>European Union</w:t>
            </w:r>
            <w:bookmarkEnd w:id="1"/>
            <w:r w:rsidRPr="002F6A28">
              <w:t xml:space="preserve"> </w:t>
            </w:r>
          </w:p>
          <w:p w:rsidR="00F85C99" w:rsidRPr="002F6A28" w:rsidRDefault="00A67F0E" w:rsidP="00E03B00">
            <w:pPr>
              <w:spacing w:after="120"/>
            </w:pPr>
            <w:r w:rsidRPr="002F6A28">
              <w:rPr>
                <w:b/>
              </w:rPr>
              <w:t>If applicable, name of local government involved (Article 3.2 and 7.2):</w:t>
            </w:r>
            <w:r w:rsidRPr="002F6A28">
              <w:t xml:space="preserve"> </w:t>
            </w:r>
            <w:bookmarkStart w:id="2" w:name="sps1b"/>
            <w:bookmarkEnd w:id="2"/>
          </w:p>
        </w:tc>
      </w:tr>
      <w:bookmarkEnd w:id="0"/>
      <w:tr w:rsidR="006408E4" w:rsidTr="0069259F">
        <w:tc>
          <w:tcPr>
            <w:tcW w:w="713" w:type="dxa"/>
            <w:tcBorders>
              <w:top w:val="single" w:sz="6" w:space="0" w:color="auto"/>
              <w:bottom w:val="single" w:sz="6" w:space="0" w:color="auto"/>
            </w:tcBorders>
            <w:shd w:val="clear" w:color="auto" w:fill="auto"/>
          </w:tcPr>
          <w:p w:rsidR="00F85C99" w:rsidRPr="002F6A28" w:rsidRDefault="00A67F0E" w:rsidP="00E03B00">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67F0E" w:rsidP="00E03B00">
            <w:pPr>
              <w:spacing w:before="120" w:after="120"/>
            </w:pPr>
            <w:r w:rsidRPr="002F6A28">
              <w:rPr>
                <w:b/>
              </w:rPr>
              <w:t xml:space="preserve">Agency responsible: </w:t>
            </w:r>
            <w:r>
              <w:t>European Commission</w:t>
            </w:r>
            <w:bookmarkStart w:id="3" w:name="sps2a"/>
            <w:bookmarkEnd w:id="3"/>
          </w:p>
          <w:p w:rsidR="00E03B00" w:rsidRDefault="00A67F0E" w:rsidP="00E03B00">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C262AF" w:rsidRDefault="00A67F0E" w:rsidP="00E03B00">
            <w:pPr>
              <w:spacing w:before="120"/>
              <w:rPr>
                <w:lang w:val="fr-CH"/>
              </w:rPr>
            </w:pPr>
            <w:r w:rsidRPr="00C262AF">
              <w:rPr>
                <w:lang w:val="fr-CH"/>
              </w:rPr>
              <w:t>European Commission</w:t>
            </w:r>
          </w:p>
          <w:p w:rsidR="006408E4" w:rsidRPr="00E03B00" w:rsidRDefault="00A67F0E" w:rsidP="00E03B00">
            <w:pPr>
              <w:rPr>
                <w:lang w:val="fr-CH"/>
              </w:rPr>
            </w:pPr>
            <w:r w:rsidRPr="00E03B00">
              <w:rPr>
                <w:lang w:val="fr-CH"/>
              </w:rPr>
              <w:t xml:space="preserve">EU-TBT </w:t>
            </w:r>
            <w:proofErr w:type="spellStart"/>
            <w:r w:rsidRPr="00E03B00">
              <w:rPr>
                <w:lang w:val="fr-CH"/>
              </w:rPr>
              <w:t>Enquiry</w:t>
            </w:r>
            <w:proofErr w:type="spellEnd"/>
            <w:r w:rsidRPr="00E03B00">
              <w:rPr>
                <w:lang w:val="fr-CH"/>
              </w:rPr>
              <w:t xml:space="preserve"> Point</w:t>
            </w:r>
          </w:p>
          <w:p w:rsidR="006408E4" w:rsidRPr="00E03B00" w:rsidRDefault="00A67F0E" w:rsidP="00E03B00">
            <w:pPr>
              <w:rPr>
                <w:lang w:val="fr-CH"/>
              </w:rPr>
            </w:pPr>
            <w:proofErr w:type="gramStart"/>
            <w:r w:rsidRPr="00E03B00">
              <w:rPr>
                <w:lang w:val="fr-CH"/>
              </w:rPr>
              <w:t>Fax:</w:t>
            </w:r>
            <w:proofErr w:type="gramEnd"/>
            <w:r w:rsidRPr="00E03B00">
              <w:rPr>
                <w:lang w:val="fr-CH"/>
              </w:rPr>
              <w:t xml:space="preserve"> +(32) 2 299 80 43</w:t>
            </w:r>
          </w:p>
          <w:p w:rsidR="006408E4" w:rsidRPr="00C262AF" w:rsidRDefault="00A67F0E" w:rsidP="00E03B00">
            <w:pPr>
              <w:rPr>
                <w:lang w:val="fr-CH"/>
              </w:rPr>
            </w:pPr>
            <w:proofErr w:type="gramStart"/>
            <w:r w:rsidRPr="00C262AF">
              <w:rPr>
                <w:lang w:val="fr-CH"/>
              </w:rPr>
              <w:t>E-mail:</w:t>
            </w:r>
            <w:proofErr w:type="gramEnd"/>
            <w:r w:rsidRPr="00C262AF">
              <w:rPr>
                <w:lang w:val="fr-CH"/>
              </w:rPr>
              <w:t xml:space="preserve"> </w:t>
            </w:r>
            <w:hyperlink r:id="rId7" w:history="1">
              <w:r w:rsidRPr="00C262AF">
                <w:rPr>
                  <w:color w:val="0000FF"/>
                  <w:u w:val="single"/>
                  <w:lang w:val="fr-CH"/>
                </w:rPr>
                <w:t>grow-eu-tbt@ec.europa.eu</w:t>
              </w:r>
            </w:hyperlink>
          </w:p>
          <w:p w:rsidR="006408E4" w:rsidRDefault="00A67F0E" w:rsidP="00E03B00">
            <w:pPr>
              <w:spacing w:after="120"/>
            </w:pPr>
            <w:r>
              <w:t xml:space="preserve">Website: </w:t>
            </w:r>
            <w:hyperlink r:id="rId8" w:tgtFrame="_blank" w:history="1">
              <w:r>
                <w:rPr>
                  <w:color w:val="0000FF"/>
                  <w:u w:val="single"/>
                </w:rPr>
                <w:t>http://ec.europa.eu/growth/tools-databases/tbt/en/</w:t>
              </w:r>
            </w:hyperlink>
            <w:r>
              <w:t xml:space="preserve"> </w:t>
            </w:r>
            <w:bookmarkStart w:id="4" w:name="sps4a"/>
            <w:bookmarkEnd w:id="4"/>
          </w:p>
        </w:tc>
      </w:tr>
      <w:tr w:rsidR="006408E4" w:rsidTr="0069259F">
        <w:tc>
          <w:tcPr>
            <w:tcW w:w="713" w:type="dxa"/>
            <w:tcBorders>
              <w:top w:val="single" w:sz="6" w:space="0" w:color="auto"/>
              <w:bottom w:val="single" w:sz="6" w:space="0" w:color="auto"/>
            </w:tcBorders>
            <w:shd w:val="clear" w:color="auto" w:fill="auto"/>
          </w:tcPr>
          <w:p w:rsidR="00F85C99" w:rsidRPr="002F6A28" w:rsidRDefault="00A67F0E" w:rsidP="00E03B00">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67F0E" w:rsidP="00E03B00">
            <w:pPr>
              <w:spacing w:before="120" w:after="120"/>
              <w:rPr>
                <w:b/>
              </w:rPr>
            </w:pPr>
            <w:r w:rsidRPr="002F6A28">
              <w:rPr>
                <w:b/>
              </w:rPr>
              <w:t>Notified</w:t>
            </w:r>
            <w:bookmarkStart w:id="5" w:name="tbt3a"/>
            <w:r w:rsidR="00E03B00">
              <w:rPr>
                <w:b/>
              </w:rPr>
              <w:t xml:space="preserve"> under Article 2.9.2 [</w:t>
            </w:r>
            <w:r w:rsidRPr="002F6A28">
              <w:rPr>
                <w:b/>
              </w:rPr>
              <w:t>X</w:t>
            </w:r>
            <w:bookmarkEnd w:id="5"/>
            <w:r w:rsidRPr="002F6A28">
              <w:rPr>
                <w:b/>
              </w:rPr>
              <w:t xml:space="preserve">], 2.10.1 </w:t>
            </w:r>
            <w:proofErr w:type="gramStart"/>
            <w:r w:rsidRPr="002F6A28">
              <w:rPr>
                <w:b/>
              </w:rPr>
              <w:t>[</w:t>
            </w:r>
            <w:r w:rsidR="00E03B00" w:rsidRPr="002F6A28">
              <w:rPr>
                <w:b/>
              </w:rPr>
              <w:t> </w:t>
            </w:r>
            <w:r w:rsidRPr="002F6A28">
              <w:rPr>
                <w:b/>
              </w:rPr>
              <w:t>]</w:t>
            </w:r>
            <w:proofErr w:type="gramEnd"/>
            <w:r w:rsidRPr="002F6A28">
              <w:rPr>
                <w:b/>
              </w:rPr>
              <w:t>, 5.6.2 [</w:t>
            </w:r>
            <w:r w:rsidR="00E03B00" w:rsidRPr="002F6A28">
              <w:rPr>
                <w:b/>
              </w:rPr>
              <w:t> </w:t>
            </w:r>
            <w:r w:rsidRPr="002F6A28">
              <w:rPr>
                <w:b/>
              </w:rPr>
              <w:t>], 5.7.1 [</w:t>
            </w:r>
            <w:r w:rsidR="00E03B00" w:rsidRPr="002F6A28">
              <w:rPr>
                <w:b/>
              </w:rPr>
              <w:t> </w:t>
            </w:r>
            <w:r w:rsidRPr="002F6A28">
              <w:rPr>
                <w:b/>
              </w:rPr>
              <w:t>], other:</w:t>
            </w:r>
            <w:bookmarkStart w:id="6" w:name="tbt3e"/>
            <w:bookmarkEnd w:id="6"/>
          </w:p>
        </w:tc>
      </w:tr>
      <w:tr w:rsidR="006408E4" w:rsidTr="0069259F">
        <w:tc>
          <w:tcPr>
            <w:tcW w:w="713" w:type="dxa"/>
            <w:tcBorders>
              <w:top w:val="single" w:sz="6" w:space="0" w:color="auto"/>
              <w:bottom w:val="single" w:sz="6" w:space="0" w:color="auto"/>
            </w:tcBorders>
            <w:shd w:val="clear" w:color="auto" w:fill="auto"/>
          </w:tcPr>
          <w:p w:rsidR="00F85C99" w:rsidRPr="002F6A28" w:rsidRDefault="00A67F0E" w:rsidP="00E03B00">
            <w:pPr>
              <w:spacing w:before="120" w:after="120"/>
            </w:pPr>
            <w:r w:rsidRPr="002F6A28">
              <w:rPr>
                <w:b/>
              </w:rPr>
              <w:t>4.</w:t>
            </w:r>
          </w:p>
        </w:tc>
        <w:tc>
          <w:tcPr>
            <w:tcW w:w="8546" w:type="dxa"/>
            <w:tcBorders>
              <w:top w:val="single" w:sz="6" w:space="0" w:color="auto"/>
              <w:bottom w:val="single" w:sz="6" w:space="0" w:color="auto"/>
            </w:tcBorders>
            <w:shd w:val="clear" w:color="auto" w:fill="auto"/>
          </w:tcPr>
          <w:p w:rsidR="006408E4" w:rsidRDefault="00A67F0E" w:rsidP="00E03B00">
            <w:pPr>
              <w:spacing w:before="120" w:after="120"/>
            </w:pPr>
            <w:r w:rsidRPr="002F6A28">
              <w:rPr>
                <w:b/>
              </w:rPr>
              <w:t xml:space="preserve">Products covered (HS or CCCN where applicable, otherwise national tariff heading. ICS numbers may be provided in addition, where applicable): </w:t>
            </w:r>
            <w:r>
              <w:t>Chemical substances</w:t>
            </w:r>
            <w:bookmarkStart w:id="7" w:name="sps3a"/>
            <w:bookmarkEnd w:id="7"/>
          </w:p>
        </w:tc>
      </w:tr>
      <w:tr w:rsidR="006408E4" w:rsidTr="0069259F">
        <w:tc>
          <w:tcPr>
            <w:tcW w:w="713" w:type="dxa"/>
            <w:tcBorders>
              <w:top w:val="single" w:sz="6" w:space="0" w:color="auto"/>
              <w:bottom w:val="single" w:sz="6" w:space="0" w:color="auto"/>
            </w:tcBorders>
            <w:shd w:val="clear" w:color="auto" w:fill="auto"/>
          </w:tcPr>
          <w:p w:rsidR="00F85C99" w:rsidRPr="002F6A28" w:rsidRDefault="00A67F0E" w:rsidP="00E03B00">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67F0E" w:rsidP="00E03B00">
            <w:pPr>
              <w:spacing w:before="120" w:after="120"/>
            </w:pPr>
            <w:r w:rsidRPr="002F6A28">
              <w:rPr>
                <w:b/>
              </w:rPr>
              <w:t xml:space="preserve">Title, number of pages and language(s) of the notified document: </w:t>
            </w:r>
            <w:r>
              <w:t>Draft Commission Regulation amending Annex XIV to Regulation (EC) No 1907/2006 of the European Parliament and of the Council concerning the Registration, Evaluation, Authorisation and Restriction of Chemicals (REACH) (6 pages + Annex 5 pages, in English)</w:t>
            </w:r>
            <w:bookmarkStart w:id="8" w:name="sps5a"/>
            <w:bookmarkStart w:id="9" w:name="sps5b"/>
            <w:bookmarkEnd w:id="8"/>
            <w:bookmarkEnd w:id="9"/>
            <w:r w:rsidR="00E03B00" w:rsidRPr="002F6A28">
              <w:t xml:space="preserve"> </w:t>
            </w:r>
          </w:p>
        </w:tc>
      </w:tr>
      <w:tr w:rsidR="006408E4" w:rsidTr="0069259F">
        <w:tc>
          <w:tcPr>
            <w:tcW w:w="713" w:type="dxa"/>
            <w:tcBorders>
              <w:top w:val="single" w:sz="6" w:space="0" w:color="auto"/>
              <w:bottom w:val="single" w:sz="6" w:space="0" w:color="auto"/>
            </w:tcBorders>
            <w:shd w:val="clear" w:color="auto" w:fill="auto"/>
          </w:tcPr>
          <w:p w:rsidR="00F85C99" w:rsidRPr="002F6A28" w:rsidRDefault="00A67F0E" w:rsidP="00E03B00">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67F0E" w:rsidP="00E03B00">
            <w:pPr>
              <w:spacing w:before="120" w:after="120"/>
              <w:rPr>
                <w:b/>
              </w:rPr>
            </w:pPr>
            <w:r w:rsidRPr="002F6A28">
              <w:rPr>
                <w:b/>
              </w:rPr>
              <w:t xml:space="preserve">Description of content: </w:t>
            </w:r>
            <w:r>
              <w:t>This draft Commission Regulation aims at amending Annex XIV of the REACH Regulation. Annex XIV lists the substances which are subject to the authorisation requirement laid down in Title VII of the Regulation. The draft proposes to include 12 additional substances in that Annex, namely:</w:t>
            </w:r>
          </w:p>
          <w:p w:rsidR="006408E4" w:rsidRDefault="00A67F0E" w:rsidP="00E03B00">
            <w:pPr>
              <w:numPr>
                <w:ilvl w:val="0"/>
                <w:numId w:val="16"/>
              </w:numPr>
              <w:spacing w:after="120"/>
            </w:pPr>
            <w:r>
              <w:t xml:space="preserve">1,2-benzenedicarboxylic acid, </w:t>
            </w:r>
            <w:proofErr w:type="spellStart"/>
            <w:r>
              <w:t>dihexyl</w:t>
            </w:r>
            <w:proofErr w:type="spellEnd"/>
            <w:r>
              <w:t xml:space="preserve"> ester, branched and linear;</w:t>
            </w:r>
          </w:p>
          <w:p w:rsidR="006408E4" w:rsidRDefault="00A67F0E" w:rsidP="00E03B00">
            <w:pPr>
              <w:numPr>
                <w:ilvl w:val="0"/>
                <w:numId w:val="16"/>
              </w:numPr>
              <w:spacing w:after="120"/>
            </w:pPr>
            <w:proofErr w:type="spellStart"/>
            <w:r>
              <w:t>dihexyl</w:t>
            </w:r>
            <w:proofErr w:type="spellEnd"/>
            <w:r>
              <w:t xml:space="preserve"> phthalate;</w:t>
            </w:r>
          </w:p>
          <w:p w:rsidR="006408E4" w:rsidRDefault="00A67F0E" w:rsidP="00E03B00">
            <w:pPr>
              <w:numPr>
                <w:ilvl w:val="0"/>
                <w:numId w:val="16"/>
              </w:numPr>
              <w:spacing w:after="120"/>
            </w:pPr>
            <w:r>
              <w:t xml:space="preserve">1,2-benzenedicarboxylic acid, di-C6-10-alkyl esters; 1,2-benzenedicarboxylic acid, mixed </w:t>
            </w:r>
            <w:proofErr w:type="spellStart"/>
            <w:r>
              <w:t>decyl</w:t>
            </w:r>
            <w:proofErr w:type="spellEnd"/>
            <w:r>
              <w:t xml:space="preserve"> and hexyl and octyl diesters with ≥ 0.3% of </w:t>
            </w:r>
            <w:proofErr w:type="spellStart"/>
            <w:r>
              <w:t>dihexyl</w:t>
            </w:r>
            <w:proofErr w:type="spellEnd"/>
            <w:r>
              <w:t xml:space="preserve"> phthalate;</w:t>
            </w:r>
            <w:r w:rsidR="00E03B00">
              <w:t xml:space="preserve"> </w:t>
            </w:r>
          </w:p>
          <w:p w:rsidR="006408E4" w:rsidRDefault="00A67F0E" w:rsidP="00E03B00">
            <w:pPr>
              <w:numPr>
                <w:ilvl w:val="0"/>
                <w:numId w:val="16"/>
              </w:numPr>
              <w:spacing w:after="120"/>
            </w:pPr>
            <w:proofErr w:type="spellStart"/>
            <w:r>
              <w:t>trixylyl</w:t>
            </w:r>
            <w:proofErr w:type="spellEnd"/>
            <w:r>
              <w:t xml:space="preserve"> phosphate;</w:t>
            </w:r>
          </w:p>
          <w:p w:rsidR="006408E4" w:rsidRDefault="00A67F0E" w:rsidP="00E03B00">
            <w:pPr>
              <w:numPr>
                <w:ilvl w:val="0"/>
                <w:numId w:val="16"/>
              </w:numPr>
              <w:spacing w:after="120"/>
            </w:pPr>
            <w:r>
              <w:t xml:space="preserve">sodium perborate, </w:t>
            </w:r>
            <w:proofErr w:type="spellStart"/>
            <w:r>
              <w:t>perboric</w:t>
            </w:r>
            <w:proofErr w:type="spellEnd"/>
            <w:r>
              <w:t xml:space="preserve"> acid, sodium salt;</w:t>
            </w:r>
          </w:p>
          <w:p w:rsidR="006408E4" w:rsidRDefault="00A67F0E" w:rsidP="00E03B00">
            <w:pPr>
              <w:numPr>
                <w:ilvl w:val="0"/>
                <w:numId w:val="16"/>
              </w:numPr>
              <w:spacing w:after="120"/>
            </w:pPr>
            <w:r>
              <w:t xml:space="preserve">sodium </w:t>
            </w:r>
            <w:proofErr w:type="spellStart"/>
            <w:r>
              <w:t>peroxometaborate</w:t>
            </w:r>
            <w:proofErr w:type="spellEnd"/>
            <w:r>
              <w:t>;</w:t>
            </w:r>
          </w:p>
          <w:p w:rsidR="006408E4" w:rsidRDefault="00A67F0E" w:rsidP="00E03B00">
            <w:pPr>
              <w:numPr>
                <w:ilvl w:val="0"/>
                <w:numId w:val="16"/>
              </w:numPr>
              <w:spacing w:after="120"/>
            </w:pPr>
            <w:r>
              <w:t>5-sec-butyl-2-(2,4-dimethylcyclohex-3-en-1-yl)-5-methyl-1,3-dioxane [1], 5</w:t>
            </w:r>
            <w:r>
              <w:noBreakHyphen/>
              <w:t>sec-butyl-2-(4,6-dimethylcyclohex-3-en-1-yl)-5-methyl-1,3-dioxane [2] (covering any of the individual stereoisomers of [1] and [2] or any combination thereof) (</w:t>
            </w:r>
            <w:r w:rsidR="00E03B00">
              <w:t>'</w:t>
            </w:r>
            <w:proofErr w:type="spellStart"/>
            <w:r>
              <w:t>karanal</w:t>
            </w:r>
            <w:proofErr w:type="spellEnd"/>
            <w:r>
              <w:t xml:space="preserve"> group</w:t>
            </w:r>
            <w:r w:rsidR="00E03B00">
              <w:t>'</w:t>
            </w:r>
            <w:r>
              <w:t>);</w:t>
            </w:r>
          </w:p>
          <w:p w:rsidR="006408E4" w:rsidRDefault="00A67F0E" w:rsidP="00E03B00">
            <w:pPr>
              <w:numPr>
                <w:ilvl w:val="0"/>
                <w:numId w:val="16"/>
              </w:numPr>
              <w:spacing w:after="120"/>
            </w:pPr>
            <w:r>
              <w:t>2-(2H-benzotriazol-2-yl)-4,6-ditertpentylphenol (UV-328);</w:t>
            </w:r>
          </w:p>
          <w:p w:rsidR="006408E4" w:rsidRDefault="00A67F0E" w:rsidP="00E03B00">
            <w:pPr>
              <w:numPr>
                <w:ilvl w:val="0"/>
                <w:numId w:val="16"/>
              </w:numPr>
              <w:spacing w:after="120"/>
            </w:pPr>
            <w:r>
              <w:lastRenderedPageBreak/>
              <w:t>2,4-di-tert-butyl-6-(5-chlorobenzotriazol-2-</w:t>
            </w:r>
            <w:proofErr w:type="gramStart"/>
            <w:r>
              <w:t>yl)phenol</w:t>
            </w:r>
            <w:proofErr w:type="gramEnd"/>
            <w:r>
              <w:t xml:space="preserve"> (UV-327);</w:t>
            </w:r>
          </w:p>
          <w:p w:rsidR="006408E4" w:rsidRDefault="00A67F0E" w:rsidP="00E03B00">
            <w:pPr>
              <w:numPr>
                <w:ilvl w:val="0"/>
                <w:numId w:val="16"/>
              </w:numPr>
              <w:spacing w:after="120"/>
            </w:pPr>
            <w:r>
              <w:t>2-(2H-benzotriazol-2-yl)-4-(tert-butyl)-6-(sec-</w:t>
            </w:r>
            <w:proofErr w:type="gramStart"/>
            <w:r>
              <w:t>butyl)phenol</w:t>
            </w:r>
            <w:proofErr w:type="gramEnd"/>
            <w:r>
              <w:t xml:space="preserve"> (UV-350);</w:t>
            </w:r>
          </w:p>
          <w:p w:rsidR="006408E4" w:rsidRDefault="00A67F0E" w:rsidP="00E03B00">
            <w:pPr>
              <w:numPr>
                <w:ilvl w:val="0"/>
                <w:numId w:val="16"/>
              </w:numPr>
              <w:spacing w:after="120"/>
            </w:pPr>
            <w:r>
              <w:t>2-benzotriazol-2-yl-4,6-di-tert-butylphenol (UV-320);</w:t>
            </w:r>
          </w:p>
          <w:p w:rsidR="006408E4" w:rsidRDefault="00A67F0E" w:rsidP="00E03B00">
            <w:pPr>
              <w:numPr>
                <w:ilvl w:val="0"/>
                <w:numId w:val="16"/>
              </w:numPr>
              <w:spacing w:after="120"/>
            </w:pPr>
            <w:proofErr w:type="gramStart"/>
            <w:r>
              <w:rPr>
                <w:lang w:val="fr-BE" w:eastAsia="fr-BE"/>
              </w:rPr>
              <w:t>diazene</w:t>
            </w:r>
            <w:proofErr w:type="gramEnd"/>
            <w:r>
              <w:rPr>
                <w:lang w:val="fr-BE" w:eastAsia="fr-BE"/>
              </w:rPr>
              <w:t>-1,2-dicarboxamide (C,C'-</w:t>
            </w:r>
            <w:proofErr w:type="spellStart"/>
            <w:r>
              <w:rPr>
                <w:lang w:val="fr-BE" w:eastAsia="fr-BE"/>
              </w:rPr>
              <w:t>azodi</w:t>
            </w:r>
            <w:proofErr w:type="spellEnd"/>
            <w:r>
              <w:rPr>
                <w:lang w:val="fr-BE" w:eastAsia="fr-BE"/>
              </w:rPr>
              <w:t>(</w:t>
            </w:r>
            <w:proofErr w:type="spellStart"/>
            <w:r>
              <w:rPr>
                <w:lang w:val="fr-BE" w:eastAsia="fr-BE"/>
              </w:rPr>
              <w:t>formamide</w:t>
            </w:r>
            <w:proofErr w:type="spellEnd"/>
            <w:r>
              <w:rPr>
                <w:lang w:val="fr-BE" w:eastAsia="fr-BE"/>
              </w:rPr>
              <w:t xml:space="preserve">)) (ADCA). </w:t>
            </w:r>
          </w:p>
          <w:p w:rsidR="006408E4" w:rsidRDefault="00A67F0E" w:rsidP="00E03B00">
            <w:pPr>
              <w:spacing w:after="120"/>
            </w:pPr>
            <w:r>
              <w:t xml:space="preserve">Once the regulation is adopted and enters into force, the placing on the market and the use of those substances in the EU will only be possible, after the date specified for each substance ("sunset date"), for those operators who have been granted an authorisation in accordance with Articles 60-64 of REACH, and for those who have </w:t>
            </w:r>
            <w:proofErr w:type="gramStart"/>
            <w:r>
              <w:t>submitted an application</w:t>
            </w:r>
            <w:proofErr w:type="gramEnd"/>
            <w:r>
              <w:t xml:space="preserve"> for authorisation before a given date ("latest application date") but a decision has not yet been adopted.</w:t>
            </w:r>
          </w:p>
          <w:p w:rsidR="006408E4" w:rsidRDefault="00A67F0E" w:rsidP="00E03B00">
            <w:pPr>
              <w:spacing w:after="120"/>
            </w:pPr>
            <w:proofErr w:type="gramStart"/>
            <w:r>
              <w:t>Furthermore</w:t>
            </w:r>
            <w:proofErr w:type="gramEnd"/>
            <w:r>
              <w:t xml:space="preserve"> the draft Regulation propose to extend for a limited period of time the transitional periods of a number of substances, for uses in the production of spare parts for the repair of articles or complex products produced before the sunset date and for the repair of such articles/complex products.</w:t>
            </w:r>
            <w:bookmarkStart w:id="10" w:name="sps6a"/>
            <w:bookmarkEnd w:id="10"/>
          </w:p>
        </w:tc>
      </w:tr>
      <w:tr w:rsidR="006408E4" w:rsidTr="0069259F">
        <w:tc>
          <w:tcPr>
            <w:tcW w:w="713" w:type="dxa"/>
            <w:tcBorders>
              <w:top w:val="single" w:sz="6" w:space="0" w:color="auto"/>
              <w:bottom w:val="single" w:sz="6" w:space="0" w:color="auto"/>
            </w:tcBorders>
            <w:shd w:val="clear" w:color="auto" w:fill="auto"/>
          </w:tcPr>
          <w:p w:rsidR="00F85C99" w:rsidRPr="002F6A28" w:rsidRDefault="00A67F0E" w:rsidP="00E03B00">
            <w:pPr>
              <w:spacing w:before="120" w:after="120"/>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A67F0E" w:rsidP="00E03B00">
            <w:pPr>
              <w:spacing w:before="120" w:after="120"/>
              <w:rPr>
                <w:b/>
              </w:rPr>
            </w:pPr>
            <w:r w:rsidRPr="002F6A28">
              <w:rPr>
                <w:b/>
              </w:rPr>
              <w:t xml:space="preserve">Objective and rationale, including the nature of urgent problems where applicable: </w:t>
            </w:r>
            <w:r>
              <w:t xml:space="preserve">The objective of this draft Regulation is to subject 12 substances of very high concern to the authorisation requirement laid down in the REACH Regulation. According to Article 55 of REACH, the aim of the authorisation provisions is </w:t>
            </w:r>
            <w:r>
              <w:rPr>
                <w:i/>
                <w:iCs/>
              </w:rPr>
              <w:t>"to ensure the good functioning of the internal market while assuring that the risks from substances of very high concern are properly controlled and that these substances are progressively replaced by suitable alternative substances or technologies where these are economically and technically viable."</w:t>
            </w:r>
          </w:p>
          <w:p w:rsidR="006408E4" w:rsidRDefault="00A67F0E" w:rsidP="00E03B00">
            <w:pPr>
              <w:spacing w:after="120"/>
            </w:pPr>
            <w:r>
              <w:t xml:space="preserve">The proposal to extend the transitional period for </w:t>
            </w:r>
            <w:proofErr w:type="gramStart"/>
            <w:r>
              <w:t>a number of</w:t>
            </w:r>
            <w:proofErr w:type="gramEnd"/>
            <w:r>
              <w:t xml:space="preserve"> substances for uses in legacy spare parts and repair of articles produced before the sunset date aims at allowing for the future adoption of measures on simplified applications for authorisation for those uses, which are considered necessary in order to avoid the premature obsolescence of such articles.</w:t>
            </w:r>
            <w:bookmarkStart w:id="11" w:name="sps7f"/>
            <w:bookmarkEnd w:id="11"/>
          </w:p>
        </w:tc>
      </w:tr>
      <w:tr w:rsidR="006408E4" w:rsidTr="0069259F">
        <w:tc>
          <w:tcPr>
            <w:tcW w:w="713" w:type="dxa"/>
            <w:tcBorders>
              <w:top w:val="single" w:sz="6" w:space="0" w:color="auto"/>
              <w:bottom w:val="single" w:sz="6" w:space="0" w:color="auto"/>
            </w:tcBorders>
            <w:shd w:val="clear" w:color="auto" w:fill="auto"/>
          </w:tcPr>
          <w:p w:rsidR="00F85C99" w:rsidRPr="002F6A28" w:rsidRDefault="00A67F0E" w:rsidP="00E03B00">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67F0E" w:rsidP="00E03B00">
            <w:pPr>
              <w:spacing w:before="120" w:after="120"/>
            </w:pPr>
            <w:r w:rsidRPr="002F6A28">
              <w:rPr>
                <w:b/>
              </w:rPr>
              <w:t>Relevant documents:</w:t>
            </w:r>
            <w:r w:rsidRPr="002F6A28">
              <w:t xml:space="preserve"> </w:t>
            </w:r>
          </w:p>
          <w:p w:rsidR="00F85C99" w:rsidRPr="00A67F0E" w:rsidRDefault="00A67F0E" w:rsidP="00E03B00">
            <w:pPr>
              <w:numPr>
                <w:ilvl w:val="0"/>
                <w:numId w:val="17"/>
              </w:numPr>
              <w:spacing w:after="120"/>
            </w:pPr>
            <w:r w:rsidRPr="00A67F0E">
              <w:t>Regulation (EC) No 1907/2006 of the European Parliament and of the Council on the Registration, Evaluation, Authorisation and Restriction of Chemicals (REACH) (OJ L 396, 30.12.2006, p. 1). Regulation as last amended by Commission Regulation (EU) 2018/675 of 2 May 2018 a</w:t>
            </w:r>
            <w:r w:rsidR="00E03B00" w:rsidRPr="00A67F0E">
              <w:t>mending the Appendices to Annex </w:t>
            </w:r>
            <w:r w:rsidRPr="00A67F0E">
              <w:t xml:space="preserve">XVII to Regulation (EC) No 1907/2006 </w:t>
            </w:r>
            <w:proofErr w:type="gramStart"/>
            <w:r w:rsidRPr="00A67F0E">
              <w:t>as regards</w:t>
            </w:r>
            <w:proofErr w:type="gramEnd"/>
            <w:r w:rsidRPr="00A67F0E">
              <w:t xml:space="preserve"> CMR substances (OJ L </w:t>
            </w:r>
            <w:r w:rsidRPr="00A67F0E">
              <w:rPr>
                <w:iCs/>
              </w:rPr>
              <w:t>114, 4.5.2018</w:t>
            </w:r>
            <w:r w:rsidRPr="00A67F0E">
              <w:t>, p. 4).</w:t>
            </w:r>
          </w:p>
        </w:tc>
      </w:tr>
      <w:tr w:rsidR="006408E4" w:rsidTr="0069259F">
        <w:tc>
          <w:tcPr>
            <w:tcW w:w="713" w:type="dxa"/>
            <w:tcBorders>
              <w:top w:val="single" w:sz="6" w:space="0" w:color="auto"/>
              <w:bottom w:val="single" w:sz="6" w:space="0" w:color="auto"/>
            </w:tcBorders>
            <w:shd w:val="clear" w:color="auto" w:fill="auto"/>
          </w:tcPr>
          <w:p w:rsidR="00EE3A11" w:rsidRPr="002F6A28" w:rsidRDefault="00A67F0E" w:rsidP="00E03B00">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67F0E" w:rsidP="00E03B00">
            <w:pPr>
              <w:spacing w:before="120" w:after="120"/>
            </w:pPr>
            <w:r w:rsidRPr="002F6A28">
              <w:rPr>
                <w:b/>
              </w:rPr>
              <w:t>Proposed date of adoption:</w:t>
            </w:r>
            <w:bookmarkStart w:id="12" w:name="sps10b"/>
            <w:r w:rsidR="00E03B00" w:rsidRPr="002F6A28">
              <w:rPr>
                <w:b/>
              </w:rPr>
              <w:t xml:space="preserve"> </w:t>
            </w:r>
            <w:r w:rsidRPr="002F6A28">
              <w:t>October 2019</w:t>
            </w:r>
            <w:bookmarkEnd w:id="12"/>
          </w:p>
          <w:p w:rsidR="00EE3A11" w:rsidRPr="002F6A28" w:rsidRDefault="00A67F0E" w:rsidP="00E03B00">
            <w:pPr>
              <w:spacing w:after="120"/>
            </w:pPr>
            <w:r w:rsidRPr="002F6A28">
              <w:rPr>
                <w:b/>
              </w:rPr>
              <w:t>Proposed date of entry into force:</w:t>
            </w:r>
            <w:bookmarkStart w:id="13" w:name="sps11b"/>
            <w:r w:rsidR="00E03B00" w:rsidRPr="002F6A28">
              <w:rPr>
                <w:b/>
              </w:rPr>
              <w:t xml:space="preserve"> </w:t>
            </w:r>
            <w:r w:rsidRPr="002F6A28">
              <w:t xml:space="preserve">20 days after publication in the Official Journal of the European Union </w:t>
            </w:r>
            <w:bookmarkEnd w:id="13"/>
          </w:p>
        </w:tc>
      </w:tr>
      <w:tr w:rsidR="006408E4" w:rsidTr="0069259F">
        <w:tc>
          <w:tcPr>
            <w:tcW w:w="713" w:type="dxa"/>
            <w:tcBorders>
              <w:top w:val="single" w:sz="6" w:space="0" w:color="auto"/>
              <w:bottom w:val="single" w:sz="6" w:space="0" w:color="auto"/>
            </w:tcBorders>
            <w:shd w:val="clear" w:color="auto" w:fill="auto"/>
          </w:tcPr>
          <w:p w:rsidR="00F85C99" w:rsidRPr="002F6A28" w:rsidRDefault="00A67F0E" w:rsidP="00E03B00">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67F0E" w:rsidP="00E03B00">
            <w:pPr>
              <w:spacing w:before="120" w:after="120"/>
            </w:pPr>
            <w:r w:rsidRPr="002F6A28">
              <w:rPr>
                <w:b/>
              </w:rPr>
              <w:t xml:space="preserve">Final date for comments: </w:t>
            </w:r>
            <w:r>
              <w:t>60 days from notification</w:t>
            </w:r>
            <w:bookmarkStart w:id="14" w:name="sps12a"/>
            <w:bookmarkEnd w:id="14"/>
          </w:p>
        </w:tc>
      </w:tr>
      <w:tr w:rsidR="006408E4" w:rsidTr="0069259F">
        <w:tc>
          <w:tcPr>
            <w:tcW w:w="713" w:type="dxa"/>
            <w:tcBorders>
              <w:top w:val="single" w:sz="6" w:space="0" w:color="auto"/>
            </w:tcBorders>
            <w:shd w:val="clear" w:color="auto" w:fill="auto"/>
          </w:tcPr>
          <w:p w:rsidR="00F85C99" w:rsidRPr="002F6A28" w:rsidRDefault="00A67F0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A67F0E" w:rsidP="00E969D2">
            <w:pPr>
              <w:keepNext/>
              <w:keepLines/>
              <w:spacing w:before="120" w:after="120"/>
            </w:pPr>
            <w:r w:rsidRPr="002F6A28">
              <w:rPr>
                <w:b/>
              </w:rPr>
              <w:t xml:space="preserve">Texts available from: National enquiry point </w:t>
            </w:r>
            <w:proofErr w:type="gramStart"/>
            <w:r w:rsidRPr="002F6A28">
              <w:rPr>
                <w:b/>
              </w:rPr>
              <w:t>[ ]</w:t>
            </w:r>
            <w:bookmarkStart w:id="15" w:name="sps13b"/>
            <w:bookmarkEnd w:id="15"/>
            <w:proofErr w:type="gramEnd"/>
            <w:r w:rsidRPr="002F6A28">
              <w:rPr>
                <w:b/>
              </w:rPr>
              <w:t xml:space="preserve"> or address, telephone and fax numbers and email and website addresses, if available, of other body:</w:t>
            </w:r>
            <w:r w:rsidRPr="002F6A28">
              <w:t xml:space="preserve"> </w:t>
            </w:r>
          </w:p>
          <w:p w:rsidR="00E03B00" w:rsidRDefault="00A67F0E" w:rsidP="00E969D2">
            <w:pPr>
              <w:keepNext/>
              <w:keepLines/>
              <w:spacing w:after="120"/>
              <w:jc w:val="left"/>
            </w:pPr>
            <w:r>
              <w:t>European Commission</w:t>
            </w:r>
            <w:r>
              <w:br/>
              <w:t>EU-TBT Enquiry Point</w:t>
            </w:r>
            <w:r>
              <w:br/>
              <w:t>Fax: + (32) 2 299 80 43</w:t>
            </w:r>
            <w:r>
              <w:br/>
              <w:t xml:space="preserve">E-mail: </w:t>
            </w:r>
            <w:hyperlink r:id="rId9" w:history="1">
              <w:r>
                <w:rPr>
                  <w:color w:val="0000FF"/>
                  <w:u w:val="single"/>
                </w:rPr>
                <w:t>grow-eu-tbt@ec.europa.eu</w:t>
              </w:r>
            </w:hyperlink>
            <w:r>
              <w:br/>
              <w:t xml:space="preserve">The text is available on the EU-TBT Website: </w:t>
            </w:r>
            <w:hyperlink r:id="rId10" w:tgtFrame="_blank" w:history="1">
              <w:r>
                <w:rPr>
                  <w:color w:val="0000FF"/>
                  <w:u w:val="single"/>
                </w:rPr>
                <w:t>http://ec.europa.eu/growth/tools-databases/tbt/en/</w:t>
              </w:r>
            </w:hyperlink>
          </w:p>
          <w:p w:rsidR="00F85C99" w:rsidRPr="002F6A28" w:rsidRDefault="00CD6205" w:rsidP="00E969D2">
            <w:pPr>
              <w:keepNext/>
              <w:keepLines/>
              <w:spacing w:after="120"/>
              <w:jc w:val="left"/>
            </w:pPr>
            <w:hyperlink r:id="rId11" w:tgtFrame="_blank" w:history="1">
              <w:r w:rsidR="00A67F0E">
                <w:rPr>
                  <w:color w:val="0000FF"/>
                  <w:u w:val="single"/>
                </w:rPr>
                <w:t>https://members.wto.org/crnattachments/2019/TBT/EEC/19_0898_00_e.pdf</w:t>
              </w:r>
            </w:hyperlink>
          </w:p>
          <w:p w:rsidR="006408E4" w:rsidRDefault="00CD6205">
            <w:pPr>
              <w:spacing w:after="120"/>
              <w:jc w:val="left"/>
            </w:pPr>
            <w:hyperlink r:id="rId12" w:tgtFrame="_blank" w:history="1">
              <w:r w:rsidR="00A67F0E">
                <w:rPr>
                  <w:color w:val="0000FF"/>
                  <w:u w:val="single"/>
                </w:rPr>
                <w:t>https://members.wto.org/crnattachments/2019/TBT/EEC/19_0898_01_e.pdf</w:t>
              </w:r>
            </w:hyperlink>
            <w:bookmarkStart w:id="16" w:name="sps13c"/>
            <w:bookmarkEnd w:id="16"/>
          </w:p>
        </w:tc>
      </w:tr>
    </w:tbl>
    <w:p w:rsidR="00EE3A11" w:rsidRPr="002F6A28" w:rsidRDefault="00CD6205" w:rsidP="002F6A28"/>
    <w:sectPr w:rsidR="00EE3A11" w:rsidRPr="002F6A28" w:rsidSect="00E03B00">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589" w:rsidRDefault="00A67F0E">
      <w:r>
        <w:separator/>
      </w:r>
    </w:p>
  </w:endnote>
  <w:endnote w:type="continuationSeparator" w:id="0">
    <w:p w:rsidR="004D1589" w:rsidRDefault="00A6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03B00" w:rsidRDefault="00E03B00" w:rsidP="00E03B0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03B00" w:rsidRDefault="00E03B00" w:rsidP="00E03B0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67F0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589" w:rsidRDefault="00A67F0E">
      <w:r>
        <w:separator/>
      </w:r>
    </w:p>
  </w:footnote>
  <w:footnote w:type="continuationSeparator" w:id="0">
    <w:p w:rsidR="004D1589" w:rsidRDefault="00A67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B00" w:rsidRPr="00E03B00" w:rsidRDefault="00E03B00" w:rsidP="00E03B00">
    <w:pPr>
      <w:pStyle w:val="Header"/>
      <w:pBdr>
        <w:bottom w:val="single" w:sz="4" w:space="1" w:color="auto"/>
      </w:pBdr>
      <w:tabs>
        <w:tab w:val="clear" w:pos="4513"/>
        <w:tab w:val="clear" w:pos="9027"/>
      </w:tabs>
      <w:jc w:val="center"/>
    </w:pPr>
    <w:r w:rsidRPr="00E03B00">
      <w:t>G/TBT/N/EU/643</w:t>
    </w:r>
  </w:p>
  <w:p w:rsidR="00E03B00" w:rsidRPr="00E03B00" w:rsidRDefault="00E03B00" w:rsidP="00E03B00">
    <w:pPr>
      <w:pStyle w:val="Header"/>
      <w:pBdr>
        <w:bottom w:val="single" w:sz="4" w:space="1" w:color="auto"/>
      </w:pBdr>
      <w:tabs>
        <w:tab w:val="clear" w:pos="4513"/>
        <w:tab w:val="clear" w:pos="9027"/>
      </w:tabs>
      <w:jc w:val="center"/>
    </w:pPr>
  </w:p>
  <w:p w:rsidR="00E03B00" w:rsidRPr="00E03B00" w:rsidRDefault="00E03B00" w:rsidP="00E03B00">
    <w:pPr>
      <w:pStyle w:val="Header"/>
      <w:pBdr>
        <w:bottom w:val="single" w:sz="4" w:space="1" w:color="auto"/>
      </w:pBdr>
      <w:tabs>
        <w:tab w:val="clear" w:pos="4513"/>
        <w:tab w:val="clear" w:pos="9027"/>
      </w:tabs>
      <w:jc w:val="center"/>
    </w:pPr>
    <w:r w:rsidRPr="00E03B00">
      <w:t xml:space="preserve">- </w:t>
    </w:r>
    <w:r w:rsidRPr="00E03B00">
      <w:fldChar w:fldCharType="begin"/>
    </w:r>
    <w:r w:rsidRPr="00E03B00">
      <w:instrText xml:space="preserve"> PAGE </w:instrText>
    </w:r>
    <w:r w:rsidRPr="00E03B00">
      <w:fldChar w:fldCharType="separate"/>
    </w:r>
    <w:r w:rsidR="00CD6205">
      <w:rPr>
        <w:noProof/>
      </w:rPr>
      <w:t>2</w:t>
    </w:r>
    <w:r w:rsidRPr="00E03B00">
      <w:fldChar w:fldCharType="end"/>
    </w:r>
    <w:r w:rsidRPr="00E03B00">
      <w:t xml:space="preserve"> -</w:t>
    </w:r>
  </w:p>
  <w:p w:rsidR="009239F7" w:rsidRPr="00E03B00" w:rsidRDefault="00CD6205" w:rsidP="00E03B0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B00" w:rsidRPr="00E03B00" w:rsidRDefault="00E03B00" w:rsidP="00E03B00">
    <w:pPr>
      <w:pStyle w:val="Header"/>
      <w:pBdr>
        <w:bottom w:val="single" w:sz="4" w:space="1" w:color="auto"/>
      </w:pBdr>
      <w:tabs>
        <w:tab w:val="clear" w:pos="4513"/>
        <w:tab w:val="clear" w:pos="9027"/>
      </w:tabs>
      <w:jc w:val="center"/>
    </w:pPr>
    <w:r w:rsidRPr="00E03B00">
      <w:t>G/TBT/N/EU/643</w:t>
    </w:r>
  </w:p>
  <w:p w:rsidR="00E03B00" w:rsidRPr="00E03B00" w:rsidRDefault="00E03B00" w:rsidP="00E03B00">
    <w:pPr>
      <w:pStyle w:val="Header"/>
      <w:pBdr>
        <w:bottom w:val="single" w:sz="4" w:space="1" w:color="auto"/>
      </w:pBdr>
      <w:tabs>
        <w:tab w:val="clear" w:pos="4513"/>
        <w:tab w:val="clear" w:pos="9027"/>
      </w:tabs>
      <w:jc w:val="center"/>
    </w:pPr>
  </w:p>
  <w:p w:rsidR="00E03B00" w:rsidRPr="00E03B00" w:rsidRDefault="00E03B00" w:rsidP="00E03B00">
    <w:pPr>
      <w:pStyle w:val="Header"/>
      <w:pBdr>
        <w:bottom w:val="single" w:sz="4" w:space="1" w:color="auto"/>
      </w:pBdr>
      <w:tabs>
        <w:tab w:val="clear" w:pos="4513"/>
        <w:tab w:val="clear" w:pos="9027"/>
      </w:tabs>
      <w:jc w:val="center"/>
    </w:pPr>
    <w:r w:rsidRPr="00E03B00">
      <w:t xml:space="preserve">- </w:t>
    </w:r>
    <w:r w:rsidRPr="00E03B00">
      <w:fldChar w:fldCharType="begin"/>
    </w:r>
    <w:r w:rsidRPr="00E03B00">
      <w:instrText xml:space="preserve"> PAGE </w:instrText>
    </w:r>
    <w:r w:rsidRPr="00E03B00">
      <w:fldChar w:fldCharType="separate"/>
    </w:r>
    <w:r>
      <w:rPr>
        <w:noProof/>
      </w:rPr>
      <w:t>3</w:t>
    </w:r>
    <w:r w:rsidRPr="00E03B00">
      <w:fldChar w:fldCharType="end"/>
    </w:r>
    <w:r w:rsidRPr="00E03B00">
      <w:t xml:space="preserve"> -</w:t>
    </w:r>
  </w:p>
  <w:p w:rsidR="009239F7" w:rsidRPr="00E03B00" w:rsidRDefault="00CD6205" w:rsidP="00E03B0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408E4" w:rsidTr="008612A9">
      <w:trPr>
        <w:trHeight w:val="240"/>
        <w:jc w:val="center"/>
      </w:trPr>
      <w:tc>
        <w:tcPr>
          <w:tcW w:w="3794" w:type="dxa"/>
          <w:shd w:val="clear" w:color="auto" w:fill="FFFFFF"/>
          <w:tcMar>
            <w:left w:w="108" w:type="dxa"/>
            <w:right w:w="108" w:type="dxa"/>
          </w:tcMar>
          <w:vAlign w:val="center"/>
        </w:tcPr>
        <w:p w:rsidR="00ED54E0" w:rsidRPr="009239F7" w:rsidRDefault="00CD6205"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E03B00" w:rsidP="00B801E9">
          <w:pPr>
            <w:jc w:val="right"/>
            <w:rPr>
              <w:b/>
              <w:color w:val="FF0000"/>
              <w:szCs w:val="16"/>
            </w:rPr>
          </w:pPr>
          <w:r>
            <w:rPr>
              <w:b/>
              <w:color w:val="FF0000"/>
              <w:szCs w:val="16"/>
            </w:rPr>
            <w:t xml:space="preserve"> </w:t>
          </w:r>
        </w:p>
      </w:tc>
    </w:tr>
    <w:bookmarkEnd w:id="17"/>
    <w:tr w:rsidR="006408E4" w:rsidTr="008612A9">
      <w:trPr>
        <w:trHeight w:val="213"/>
        <w:jc w:val="center"/>
      </w:trPr>
      <w:tc>
        <w:tcPr>
          <w:tcW w:w="3794" w:type="dxa"/>
          <w:vMerge w:val="restart"/>
          <w:shd w:val="clear" w:color="auto" w:fill="FFFFFF"/>
          <w:tcMar>
            <w:left w:w="0" w:type="dxa"/>
            <w:right w:w="0" w:type="dxa"/>
          </w:tcMar>
        </w:tcPr>
        <w:p w:rsidR="00ED54E0" w:rsidRPr="009239F7" w:rsidRDefault="005753F3"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D6205" w:rsidP="00B801E9">
          <w:pPr>
            <w:jc w:val="right"/>
            <w:rPr>
              <w:b/>
              <w:szCs w:val="16"/>
            </w:rPr>
          </w:pPr>
        </w:p>
      </w:tc>
    </w:tr>
    <w:tr w:rsidR="006408E4" w:rsidTr="008612A9">
      <w:trPr>
        <w:trHeight w:val="868"/>
        <w:jc w:val="center"/>
      </w:trPr>
      <w:tc>
        <w:tcPr>
          <w:tcW w:w="3794" w:type="dxa"/>
          <w:vMerge/>
          <w:shd w:val="clear" w:color="auto" w:fill="FFFFFF"/>
          <w:tcMar>
            <w:left w:w="108" w:type="dxa"/>
            <w:right w:w="108" w:type="dxa"/>
          </w:tcMar>
        </w:tcPr>
        <w:p w:rsidR="00ED54E0" w:rsidRPr="009239F7" w:rsidRDefault="00CD6205" w:rsidP="00B801E9">
          <w:pPr>
            <w:jc w:val="left"/>
            <w:rPr>
              <w:noProof/>
              <w:lang w:eastAsia="en-GB"/>
            </w:rPr>
          </w:pPr>
        </w:p>
      </w:tc>
      <w:tc>
        <w:tcPr>
          <w:tcW w:w="5448" w:type="dxa"/>
          <w:gridSpan w:val="2"/>
          <w:shd w:val="clear" w:color="auto" w:fill="FFFFFF"/>
          <w:tcMar>
            <w:left w:w="108" w:type="dxa"/>
            <w:right w:w="108" w:type="dxa"/>
          </w:tcMar>
        </w:tcPr>
        <w:p w:rsidR="00E03B00" w:rsidRDefault="00E03B00" w:rsidP="00B801E9">
          <w:pPr>
            <w:jc w:val="right"/>
            <w:rPr>
              <w:b/>
              <w:szCs w:val="16"/>
            </w:rPr>
          </w:pPr>
          <w:bookmarkStart w:id="18" w:name="bmkSymbols"/>
          <w:r>
            <w:rPr>
              <w:b/>
              <w:szCs w:val="16"/>
            </w:rPr>
            <w:t>G/TBT/N/EU/643</w:t>
          </w:r>
        </w:p>
        <w:bookmarkEnd w:id="18"/>
        <w:p w:rsidR="00ED54E0" w:rsidRPr="009239F7" w:rsidRDefault="00CD6205" w:rsidP="00B801E9">
          <w:pPr>
            <w:jc w:val="right"/>
            <w:rPr>
              <w:b/>
              <w:szCs w:val="16"/>
            </w:rPr>
          </w:pPr>
        </w:p>
      </w:tc>
    </w:tr>
    <w:tr w:rsidR="006408E4" w:rsidTr="008612A9">
      <w:trPr>
        <w:trHeight w:val="240"/>
        <w:jc w:val="center"/>
      </w:trPr>
      <w:tc>
        <w:tcPr>
          <w:tcW w:w="3794" w:type="dxa"/>
          <w:vMerge/>
          <w:shd w:val="clear" w:color="auto" w:fill="FFFFFF"/>
          <w:tcMar>
            <w:left w:w="108" w:type="dxa"/>
            <w:right w:w="108" w:type="dxa"/>
          </w:tcMar>
          <w:vAlign w:val="center"/>
        </w:tcPr>
        <w:p w:rsidR="00ED54E0" w:rsidRPr="009239F7" w:rsidRDefault="00CD6205" w:rsidP="00B801E9"/>
      </w:tc>
      <w:tc>
        <w:tcPr>
          <w:tcW w:w="5448" w:type="dxa"/>
          <w:gridSpan w:val="2"/>
          <w:shd w:val="clear" w:color="auto" w:fill="FFFFFF"/>
          <w:tcMar>
            <w:left w:w="108" w:type="dxa"/>
            <w:right w:w="108" w:type="dxa"/>
          </w:tcMar>
          <w:vAlign w:val="center"/>
        </w:tcPr>
        <w:p w:rsidR="00ED54E0" w:rsidRPr="009239F7" w:rsidRDefault="00C262AF" w:rsidP="00B801E9">
          <w:pPr>
            <w:jc w:val="right"/>
            <w:rPr>
              <w:szCs w:val="16"/>
            </w:rPr>
          </w:pPr>
          <w:bookmarkStart w:id="19" w:name="spsDateDistribution"/>
          <w:bookmarkStart w:id="20" w:name="bmkDate"/>
          <w:bookmarkEnd w:id="19"/>
          <w:bookmarkEnd w:id="20"/>
          <w:r>
            <w:rPr>
              <w:szCs w:val="16"/>
            </w:rPr>
            <w:t>15 February 2019</w:t>
          </w:r>
        </w:p>
      </w:tc>
    </w:tr>
    <w:tr w:rsidR="006408E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67F0E" w:rsidP="0097650D">
          <w:pPr>
            <w:jc w:val="left"/>
            <w:rPr>
              <w:b/>
            </w:rPr>
          </w:pPr>
          <w:bookmarkStart w:id="21" w:name="bmkSerial"/>
          <w:r w:rsidRPr="002F6A28">
            <w:rPr>
              <w:color w:val="FF0000"/>
              <w:szCs w:val="16"/>
            </w:rPr>
            <w:t>(</w:t>
          </w:r>
          <w:bookmarkStart w:id="22" w:name="spsSerialNumber"/>
          <w:bookmarkEnd w:id="22"/>
          <w:r w:rsidR="00C262AF">
            <w:rPr>
              <w:color w:val="FF0000"/>
              <w:szCs w:val="16"/>
            </w:rPr>
            <w:t>19-</w:t>
          </w:r>
          <w:r w:rsidR="00CD6205">
            <w:rPr>
              <w:color w:val="FF0000"/>
              <w:szCs w:val="16"/>
            </w:rPr>
            <w:t>0888</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A67F0E"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D620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D6205">
            <w:rPr>
              <w:bCs/>
              <w:noProof/>
              <w:szCs w:val="16"/>
            </w:rPr>
            <w:t>2</w:t>
          </w:r>
          <w:r w:rsidRPr="002F6A28">
            <w:rPr>
              <w:bCs/>
              <w:szCs w:val="16"/>
            </w:rPr>
            <w:fldChar w:fldCharType="end"/>
          </w:r>
          <w:bookmarkEnd w:id="23"/>
        </w:p>
      </w:tc>
    </w:tr>
    <w:tr w:rsidR="006408E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03B00"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E03B00" w:rsidP="00B801E9">
          <w:pPr>
            <w:jc w:val="right"/>
            <w:rPr>
              <w:bCs/>
              <w:szCs w:val="18"/>
            </w:rPr>
          </w:pPr>
          <w:bookmarkStart w:id="25" w:name="bmkLanguage"/>
          <w:r>
            <w:rPr>
              <w:bCs/>
              <w:szCs w:val="18"/>
            </w:rPr>
            <w:t>Original: English</w:t>
          </w:r>
          <w:bookmarkEnd w:id="25"/>
        </w:p>
      </w:tc>
    </w:tr>
  </w:tbl>
  <w:p w:rsidR="00ED54E0" w:rsidRPr="002F6A28" w:rsidRDefault="00CD6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3CCA9A0">
      <w:start w:val="1"/>
      <w:numFmt w:val="decimal"/>
      <w:pStyle w:val="SummaryText"/>
      <w:lvlText w:val="%1."/>
      <w:lvlJc w:val="left"/>
      <w:pPr>
        <w:ind w:left="360" w:hanging="360"/>
      </w:pPr>
    </w:lvl>
    <w:lvl w:ilvl="1" w:tplc="E2DE0B76" w:tentative="1">
      <w:start w:val="1"/>
      <w:numFmt w:val="lowerLetter"/>
      <w:lvlText w:val="%2."/>
      <w:lvlJc w:val="left"/>
      <w:pPr>
        <w:ind w:left="1080" w:hanging="360"/>
      </w:pPr>
    </w:lvl>
    <w:lvl w:ilvl="2" w:tplc="1D94FBAC" w:tentative="1">
      <w:start w:val="1"/>
      <w:numFmt w:val="lowerRoman"/>
      <w:lvlText w:val="%3."/>
      <w:lvlJc w:val="right"/>
      <w:pPr>
        <w:ind w:left="1800" w:hanging="180"/>
      </w:pPr>
    </w:lvl>
    <w:lvl w:ilvl="3" w:tplc="8E92E6AC" w:tentative="1">
      <w:start w:val="1"/>
      <w:numFmt w:val="decimal"/>
      <w:lvlText w:val="%4."/>
      <w:lvlJc w:val="left"/>
      <w:pPr>
        <w:ind w:left="2520" w:hanging="360"/>
      </w:pPr>
    </w:lvl>
    <w:lvl w:ilvl="4" w:tplc="E746EEF2" w:tentative="1">
      <w:start w:val="1"/>
      <w:numFmt w:val="lowerLetter"/>
      <w:lvlText w:val="%5."/>
      <w:lvlJc w:val="left"/>
      <w:pPr>
        <w:ind w:left="3240" w:hanging="360"/>
      </w:pPr>
    </w:lvl>
    <w:lvl w:ilvl="5" w:tplc="3A7631F0" w:tentative="1">
      <w:start w:val="1"/>
      <w:numFmt w:val="lowerRoman"/>
      <w:lvlText w:val="%6."/>
      <w:lvlJc w:val="right"/>
      <w:pPr>
        <w:ind w:left="3960" w:hanging="180"/>
      </w:pPr>
    </w:lvl>
    <w:lvl w:ilvl="6" w:tplc="0F8E2FBA" w:tentative="1">
      <w:start w:val="1"/>
      <w:numFmt w:val="decimal"/>
      <w:lvlText w:val="%7."/>
      <w:lvlJc w:val="left"/>
      <w:pPr>
        <w:ind w:left="4680" w:hanging="360"/>
      </w:pPr>
    </w:lvl>
    <w:lvl w:ilvl="7" w:tplc="81B2FD70" w:tentative="1">
      <w:start w:val="1"/>
      <w:numFmt w:val="lowerLetter"/>
      <w:lvlText w:val="%8."/>
      <w:lvlJc w:val="left"/>
      <w:pPr>
        <w:ind w:left="5400" w:hanging="360"/>
      </w:pPr>
    </w:lvl>
    <w:lvl w:ilvl="8" w:tplc="51F2447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2A291DA">
      <w:start w:val="1"/>
      <w:numFmt w:val="bullet"/>
      <w:lvlText w:val=""/>
      <w:lvlJc w:val="left"/>
      <w:pPr>
        <w:tabs>
          <w:tab w:val="num" w:pos="720"/>
        </w:tabs>
        <w:ind w:left="720" w:hanging="360"/>
      </w:pPr>
      <w:rPr>
        <w:rFonts w:ascii="Symbol" w:hAnsi="Symbol"/>
      </w:rPr>
    </w:lvl>
    <w:lvl w:ilvl="1" w:tplc="02DE7C10">
      <w:start w:val="1"/>
      <w:numFmt w:val="bullet"/>
      <w:lvlText w:val="o"/>
      <w:lvlJc w:val="left"/>
      <w:pPr>
        <w:tabs>
          <w:tab w:val="num" w:pos="1440"/>
        </w:tabs>
        <w:ind w:left="1440" w:hanging="360"/>
      </w:pPr>
      <w:rPr>
        <w:rFonts w:ascii="Courier New" w:hAnsi="Courier New"/>
      </w:rPr>
    </w:lvl>
    <w:lvl w:ilvl="2" w:tplc="F9085CCC">
      <w:start w:val="1"/>
      <w:numFmt w:val="bullet"/>
      <w:lvlText w:val=""/>
      <w:lvlJc w:val="left"/>
      <w:pPr>
        <w:tabs>
          <w:tab w:val="num" w:pos="2160"/>
        </w:tabs>
        <w:ind w:left="2160" w:hanging="360"/>
      </w:pPr>
      <w:rPr>
        <w:rFonts w:ascii="Wingdings" w:hAnsi="Wingdings"/>
      </w:rPr>
    </w:lvl>
    <w:lvl w:ilvl="3" w:tplc="8E0CD4FA">
      <w:start w:val="1"/>
      <w:numFmt w:val="bullet"/>
      <w:lvlText w:val=""/>
      <w:lvlJc w:val="left"/>
      <w:pPr>
        <w:tabs>
          <w:tab w:val="num" w:pos="2880"/>
        </w:tabs>
        <w:ind w:left="2880" w:hanging="360"/>
      </w:pPr>
      <w:rPr>
        <w:rFonts w:ascii="Symbol" w:hAnsi="Symbol"/>
      </w:rPr>
    </w:lvl>
    <w:lvl w:ilvl="4" w:tplc="2666763A">
      <w:start w:val="1"/>
      <w:numFmt w:val="bullet"/>
      <w:lvlText w:val="o"/>
      <w:lvlJc w:val="left"/>
      <w:pPr>
        <w:tabs>
          <w:tab w:val="num" w:pos="3600"/>
        </w:tabs>
        <w:ind w:left="3600" w:hanging="360"/>
      </w:pPr>
      <w:rPr>
        <w:rFonts w:ascii="Courier New" w:hAnsi="Courier New"/>
      </w:rPr>
    </w:lvl>
    <w:lvl w:ilvl="5" w:tplc="1D303974">
      <w:start w:val="1"/>
      <w:numFmt w:val="bullet"/>
      <w:lvlText w:val=""/>
      <w:lvlJc w:val="left"/>
      <w:pPr>
        <w:tabs>
          <w:tab w:val="num" w:pos="4320"/>
        </w:tabs>
        <w:ind w:left="4320" w:hanging="360"/>
      </w:pPr>
      <w:rPr>
        <w:rFonts w:ascii="Wingdings" w:hAnsi="Wingdings"/>
      </w:rPr>
    </w:lvl>
    <w:lvl w:ilvl="6" w:tplc="9300E64E">
      <w:start w:val="1"/>
      <w:numFmt w:val="bullet"/>
      <w:lvlText w:val=""/>
      <w:lvlJc w:val="left"/>
      <w:pPr>
        <w:tabs>
          <w:tab w:val="num" w:pos="5040"/>
        </w:tabs>
        <w:ind w:left="5040" w:hanging="360"/>
      </w:pPr>
      <w:rPr>
        <w:rFonts w:ascii="Symbol" w:hAnsi="Symbol"/>
      </w:rPr>
    </w:lvl>
    <w:lvl w:ilvl="7" w:tplc="D876B614">
      <w:start w:val="1"/>
      <w:numFmt w:val="bullet"/>
      <w:lvlText w:val="o"/>
      <w:lvlJc w:val="left"/>
      <w:pPr>
        <w:tabs>
          <w:tab w:val="num" w:pos="5760"/>
        </w:tabs>
        <w:ind w:left="5760" w:hanging="360"/>
      </w:pPr>
      <w:rPr>
        <w:rFonts w:ascii="Courier New" w:hAnsi="Courier New"/>
      </w:rPr>
    </w:lvl>
    <w:lvl w:ilvl="8" w:tplc="AEB25A70">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E764AE62">
      <w:start w:val="1"/>
      <w:numFmt w:val="bullet"/>
      <w:lvlText w:val=""/>
      <w:lvlJc w:val="left"/>
      <w:pPr>
        <w:tabs>
          <w:tab w:val="num" w:pos="720"/>
        </w:tabs>
        <w:ind w:left="720" w:hanging="360"/>
      </w:pPr>
      <w:rPr>
        <w:rFonts w:ascii="Symbol" w:hAnsi="Symbol"/>
      </w:rPr>
    </w:lvl>
    <w:lvl w:ilvl="1" w:tplc="81FC1596">
      <w:start w:val="1"/>
      <w:numFmt w:val="bullet"/>
      <w:lvlText w:val="o"/>
      <w:lvlJc w:val="left"/>
      <w:pPr>
        <w:tabs>
          <w:tab w:val="num" w:pos="1440"/>
        </w:tabs>
        <w:ind w:left="1440" w:hanging="360"/>
      </w:pPr>
      <w:rPr>
        <w:rFonts w:ascii="Courier New" w:hAnsi="Courier New"/>
      </w:rPr>
    </w:lvl>
    <w:lvl w:ilvl="2" w:tplc="9BB88756">
      <w:start w:val="1"/>
      <w:numFmt w:val="bullet"/>
      <w:lvlText w:val=""/>
      <w:lvlJc w:val="left"/>
      <w:pPr>
        <w:tabs>
          <w:tab w:val="num" w:pos="2160"/>
        </w:tabs>
        <w:ind w:left="2160" w:hanging="360"/>
      </w:pPr>
      <w:rPr>
        <w:rFonts w:ascii="Wingdings" w:hAnsi="Wingdings"/>
      </w:rPr>
    </w:lvl>
    <w:lvl w:ilvl="3" w:tplc="79C2A33C">
      <w:start w:val="1"/>
      <w:numFmt w:val="bullet"/>
      <w:lvlText w:val=""/>
      <w:lvlJc w:val="left"/>
      <w:pPr>
        <w:tabs>
          <w:tab w:val="num" w:pos="2880"/>
        </w:tabs>
        <w:ind w:left="2880" w:hanging="360"/>
      </w:pPr>
      <w:rPr>
        <w:rFonts w:ascii="Symbol" w:hAnsi="Symbol"/>
      </w:rPr>
    </w:lvl>
    <w:lvl w:ilvl="4" w:tplc="B916F69A">
      <w:start w:val="1"/>
      <w:numFmt w:val="bullet"/>
      <w:lvlText w:val="o"/>
      <w:lvlJc w:val="left"/>
      <w:pPr>
        <w:tabs>
          <w:tab w:val="num" w:pos="3600"/>
        </w:tabs>
        <w:ind w:left="3600" w:hanging="360"/>
      </w:pPr>
      <w:rPr>
        <w:rFonts w:ascii="Courier New" w:hAnsi="Courier New"/>
      </w:rPr>
    </w:lvl>
    <w:lvl w:ilvl="5" w:tplc="020A8A64">
      <w:start w:val="1"/>
      <w:numFmt w:val="bullet"/>
      <w:lvlText w:val=""/>
      <w:lvlJc w:val="left"/>
      <w:pPr>
        <w:tabs>
          <w:tab w:val="num" w:pos="4320"/>
        </w:tabs>
        <w:ind w:left="4320" w:hanging="360"/>
      </w:pPr>
      <w:rPr>
        <w:rFonts w:ascii="Wingdings" w:hAnsi="Wingdings"/>
      </w:rPr>
    </w:lvl>
    <w:lvl w:ilvl="6" w:tplc="8FC29644">
      <w:start w:val="1"/>
      <w:numFmt w:val="bullet"/>
      <w:lvlText w:val=""/>
      <w:lvlJc w:val="left"/>
      <w:pPr>
        <w:tabs>
          <w:tab w:val="num" w:pos="5040"/>
        </w:tabs>
        <w:ind w:left="5040" w:hanging="360"/>
      </w:pPr>
      <w:rPr>
        <w:rFonts w:ascii="Symbol" w:hAnsi="Symbol"/>
      </w:rPr>
    </w:lvl>
    <w:lvl w:ilvl="7" w:tplc="342286D0">
      <w:start w:val="1"/>
      <w:numFmt w:val="bullet"/>
      <w:lvlText w:val="o"/>
      <w:lvlJc w:val="left"/>
      <w:pPr>
        <w:tabs>
          <w:tab w:val="num" w:pos="5760"/>
        </w:tabs>
        <w:ind w:left="5760" w:hanging="360"/>
      </w:pPr>
      <w:rPr>
        <w:rFonts w:ascii="Courier New" w:hAnsi="Courier New"/>
      </w:rPr>
    </w:lvl>
    <w:lvl w:ilvl="8" w:tplc="4608FAD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E4"/>
    <w:rsid w:val="004D1589"/>
    <w:rsid w:val="005753F3"/>
    <w:rsid w:val="006408E4"/>
    <w:rsid w:val="00A67F0E"/>
    <w:rsid w:val="00C262AF"/>
    <w:rsid w:val="00CD6205"/>
    <w:rsid w:val="00E0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7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row-eu-tbt@ec.europa.eu" TargetMode="External"/><Relationship Id="rId12" Type="http://schemas.openxmlformats.org/officeDocument/2006/relationships/hyperlink" Target="https://members.wto.org/crnattachments/2019/TBT/EEC/19_0898_01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EEC/19_0898_00_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c.europa.eu/growth/tools-databases/tbt/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ow-eu-tbt@ec.europa.e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712</Words>
  <Characters>4562</Characters>
  <Application>Microsoft Office Word</Application>
  <DocSecurity>0</DocSecurity>
  <Lines>97</Lines>
  <Paragraphs>51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2019-02-14T13:44:00Z</dcterms:created>
  <dcterms:modified xsi:type="dcterms:W3CDTF">2019-02-15T08:57:00Z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G/TBT/N/EU/643</vt:lpwstr>
  </property>
</Properties>
</file>